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AP21.002547 vom 26. März 2021</w:t>
      </w:r>
    </w:p>
    <w:p>
      <w:r>
        <w:t>VD Tribunal cantonal, 2021-03-26, FR</w:t>
      </w:r>
    </w:p>
    <w:p>
      <w:r>
        <w:rPr>
          <w:b/>
        </w:rPr>
        <w:t xml:space="preserve">Quelle: </w:t>
      </w:r>
      <w:r>
        <w:t>https://mcp.opencaselaw.ch/entscheid/vd_gerichte_AP21.002547</w:t>
      </w:r>
    </w:p>
    <w:p>
      <w:r>
        <w:t>FR: VD_GERICHTE AP21.002547 du 26 mars 2021</w:t>
      </w:r>
    </w:p>
    <w:p>
      <w:r>
        <w:t>IT: VD_GERICHTE AP21.002547 del 26 marzo 2021</w:t>
      </w:r>
    </w:p>
    <w:p>
      <w:pPr>
        <w:pStyle w:val="Heading2"/>
      </w:pPr>
      <w:r>
        <w:t>Erwägungen</w:t>
      </w:r>
    </w:p>
    <w:p>
      <w:r>
        <w:rPr>
          <w:b/>
        </w:rPr>
        <w:t>E. 1.1</w:t>
      </w:r>
    </w:p>
    <w:p>
      <w:r>
        <w:t>L’art. 26 al. 1 let. a LEP (loi vaudoise sur l’exécution des condamnations pénales du 4 juillet 2006 ; BLV 340.01) dispose que, sous réserve des compétences que le droit fédéral attribue expressément au juge qui connaît de la commission d'une nouvelle infraction, le Juge</w:t>
      </w:r>
    </w:p>
    <w:p>
      <w:r>
        <w:t>- 5 -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l’ordonnance attaquée a été envoyée au condamné par courrier recommandé du 8 mars 2021. Le pli a été distribué le lendemain à l’établissement pénitentiaire. On ignore à quelle date précise le pli a été distribué au recourant, le fardeau de la preuve étant toutefois à la charge de l’autorité (ATF 142 IV 125). Cette question peut rester indécise, dans la mesure où le recours, supposé avoir été déposé en temps utile et qui satisfait aux conditions de forme posées par l’art. 385 al. 1 CPP, doit dans tous les cas être déclaré irrecevable pour les motifs qui suivent.</w:t>
      </w:r>
    </w:p>
    <w:p>
      <w:r>
        <w:rPr>
          <w:b/>
        </w:rPr>
        <w:t>E. 2.1</w:t>
      </w:r>
    </w:p>
    <w:p>
      <w:r>
        <w:t>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w:t>
      </w:r>
    </w:p>
    <w:p>
      <w:r>
        <w:t>- 6 - doit ainsi établir que la décision attaquée viole une règle de droit qui a pour but de protéger ses intérêts et qu’il peut par conséquent en déduire un droit subjectif. L’intérêt doit donc être personnel (CREP 2 novembre 2020/849 consid. 2.1 ; 18 juin 2020/473 consid. 2 ; CREP 4 avril 2019/274 consid. 2.1).</w:t>
      </w:r>
    </w:p>
    <w:p>
      <w:r>
        <w:rPr>
          <w:b/>
        </w:rPr>
        <w:t>E. 2.2</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est la dernière étape du système progressif d’exécution des peines privatives de liberté, précédant la libération définitive. Il s’agit donc d’une modalité d’exécution et non d’un droit, ni d’une faveur accordée au détenu (cf. Dupuis et al. [éd.], Petit Commentaire du Code pénal, 2e éd., Bâle 2017, n. 3 ad art. 86 CP).</w:t>
      </w:r>
    </w:p>
    <w:p>
      <w:r>
        <w:rPr>
          <w:b/>
        </w:rPr>
        <w:t>E. 2.3</w:t>
      </w:r>
    </w:p>
    <w:p>
      <w:r>
        <w:t>En l’espèce, force est de constater, avec le premier juge, que les conditions de l’art. 86 CP sont réunies, de sorte que la libération conditionnelle de G.________ doit intervenir, ce que celui-ci ne conteste pas. Il apparaît que le seul motif du recourant à s’opposer à sa libération conditionnelle est le fait que cette mesure soit subordonnée à son renvoi. Il explique qu’il ne souhaite pas retourner en Géorgie, son pays d’origine, où il n’a aucune attache. Il dit qu’il envisage de rester en Suisse et que si finalement cela n’est pas possible, il ira tenter sa chance dans un autre pays d’Europe, comme l’Allemagne. G.________ conteste en réalité les modalités de son renvoi de Suisse, préférant purger sa peine et rester en Suisse, ou être renvoyé dans un autre pays d’Europe, mais pas en Géorgie. Or, il fait l’objet d’une</w:t>
      </w:r>
    </w:p>
    <w:p>
      <w:r>
        <w:t>- 7 - décision de renvoi entrée en force le 11 novembre 2016. Dès lors, ni le Juge d’application des peines, ni la Chambre de céans n’ont la compétence de statuer sur ce point, ni encore sur la question du pays de destination du renvoi. Les autorités pénales ne peuvent que prendre acte de l’existence d’une décision administrative définitive sur la question du statut juridique du recourant en Suisse (TF 6B_40/2015 du 5 février 2015 consid. 3.3 ; CREP 2 novembre 2020/849 consid. 2.2 et les réf. citées). La problématique liée à l’absence de statut de séjour du recourant persistera au terme de l’exécution de sa peine privative de liberté et l’expulsion à laquelle il s’oppose aujourd’hui sera également la seule issue possible au terme de sa peine. Le recourant n’a pas d’autre choix que de quitter la Suisse à sa libération. Dans le cas contraire, il séjournerait illégalement dans notre pays et donc de manière pénalement répréhensible, ce qui n’est pas admissible. L’intéressé ayant d’ailleurs expliqué qu’il ne voulait pas collaborer à son renvoi et ne démontrant aucune volonté de partir, cela justifie d’autant plus la condition du renvoi. Enfin, en l’état, les conditions de l’art. 86 CP étant remplies, il n’y a pas de raison pour l’autorité de céans de maintenir en détention le recourant pour des motifs étrangers aux normes pénales. Ce faisant, le recourant, qui ne s’oppose pas à sa libération conditionnelle en tant que telle, mais qui s’oppose à la condition à laquelle sa libération conditionnelle est subordonnée, à savoir l’exécution de son renvoi en Géorgie, ne peut pas se prévaloir d’un intérêt juridiquement protégé à l’annulation de l’ordonnance attaquée.</w:t>
      </w:r>
    </w:p>
    <w:p>
      <w:r>
        <w:rPr>
          <w:b/>
        </w:rPr>
        <w:t>E. 3.1</w:t>
      </w:r>
    </w:p>
    <w:p>
      <w:r>
        <w:t>Au vu de ce qui précède, le recours, manifestement irrecevable, doit être écarté sans autre échange d’écritures (art. 390 al. 2 CPP).</w:t>
      </w:r>
    </w:p>
    <w:p>
      <w:r>
        <w:rPr>
          <w:b/>
        </w:rPr>
        <w:t>E. 3.2</w:t>
      </w:r>
    </w:p>
    <w:p>
      <w:r>
        <w:t>La requête du recourant tendant à l’octroi de l’assistance judiciaire pour la procédure de recours est uniquement recevable en tant qu’elle porte sur la désignation d’un défenseur d’office, dès lors que</w:t>
      </w:r>
    </w:p>
    <w:p>
      <w:r>
        <w:t>- 8 - l’assistance judiciaire pour la procédure de recours, comprenant l’exonération des frais de procédure et d’avances de frais, ne peut être accordée qu’à la partie plaignante (cf. art. 136 CPP) et non au prévenu (cf. art. 132 CPP ; JdT 2016 III 33 ; CREP 22 mars 2019/219). Or, en l’espèce, la requête tendant à la désignation d’un défenseur d’office pour la procédure de recours doit être rejetée, le recours apparaissant d'emblée dénué de chances de succès (cf. CREP 27 janvier 2020/46 consid. 2 ; CREP 10 mai 2019/387; CREP 13 mars 2018/198).</w:t>
      </w:r>
    </w:p>
    <w:p>
      <w:r>
        <w:rPr>
          <w:b/>
        </w:rPr>
        <w:t>E. 3.3</w:t>
      </w:r>
    </w:p>
    <w:p>
      <w:r>
        <w:t>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irrecevable. II. La requête de désignation d’un défenseur d’office est rejetée. III. Les frais d’arrêt, par 770 fr. (sept cent septante francs), sont mis à la charge de G.________. IV. L’arrêt est exécutoire. Le président : Le greffier :</w:t>
      </w:r>
    </w:p>
    <w:p>
      <w:r>
        <w:t>- 9 - Du Le présent arrêt, dont la rédaction a été approuvée à huis clos, est notifié, par l'envoi d'une copie complète, à : - M. G.________, - Ministère public central, et communiqué à : - Mme la Juge d’application des peines, - M. le Procureur cantonal Strada, - Office d’exécution des peines, - Direction des Etablissements de la plaine de l’Orbe,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