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AP21.001219 vom 25. September 2023</w:t>
      </w:r>
    </w:p>
    <w:p>
      <w:r>
        <w:t>VD Tribunal cantonal, 2023-09-25, FR</w:t>
      </w:r>
    </w:p>
    <w:p>
      <w:r>
        <w:rPr>
          <w:b/>
        </w:rPr>
        <w:t xml:space="preserve">Quelle: </w:t>
      </w:r>
      <w:r>
        <w:t>https://mcp.opencaselaw.ch/entscheid/vd_gerichte_AP21.001219</w:t>
      </w:r>
    </w:p>
    <w:p>
      <w:r>
        <w:t>FR: VD_GERICHTE AP21.001219 du 25 septembre 2023</w:t>
      </w:r>
    </w:p>
    <w:p>
      <w:r>
        <w:t>IT: VD_GERICHTE AP21.001219 del 25 settembre 2023</w:t>
      </w:r>
    </w:p>
    <w:p>
      <w:pPr>
        <w:pStyle w:val="Heading2"/>
      </w:pPr>
      <w:r>
        <w:t>Volltext</w:t>
      </w:r>
    </w:p>
    <w:p>
      <w:r>
        <w:t>TRIBUNAL CANTONAL 788 AP21.001219-DBT CHAMBRE DE S RECO URS PEN ALE __________________________________________ Arrêt du 25 septembre 2023 __________________ Composition : Mme BYRDE, présidente MM. Krieger et Perrot, juges Greffière : Mme Japona-Mirus ***** Art. 110 al. 4, 385 CPP Statuant sur le recours interjeté le 18 septembre 2023 par A.________ contre l’ordonnance rendue le 7 septembre 2023 par la Juge d’application des peines dans la cause n° AP21.001219-DBT, la Chambre des recours pénale considère : En fait : A. a) Par jugement du 23 février 2017, le Tribunal correctionnel de l'arrondissement de Lausanne a, notamment, constaté qu’A.________ s’était rendu coupable de diffamation, de calomnie, de calomnie qualifiée, d'injure, d'utilisation abusive d'une installation de télécommunication, de menaces, de délit manqué de contrainte et de dénonciation calomnieuse 351</w:t>
      </w:r>
    </w:p>
    <w:p>
      <w:r>
        <w:t>- 2 - (I), l’a condamné à une peine privative de liberté de 14 mois, sous déduction de 189 jours de détention avant jugement (II), et a ordonné la mise en œuvre d'une mesure thérapeutique institutionnelle au sens de l'art. 59 CP (III). b) Par décision du 14 juin 2017, l'Office d'exécution des peines (OEP) a ordonné le placement institutionnel du prénommé au sein de la Prison de la Tuilière, avec effet rétroactif au 23 février 2017 et dans l'attente d'un placement au sein d'un établissement pénitentiaire vaudois d'exécution de peine, avec la poursuite d'un traitement psychothérapeutique auprès du Service de médecine et psychiatrie pénitentiaires (SMPP). En date du 18 octobre 2017, A.________ est entré aux Etablissements de la plaine de l’Orbe (EPO). Par décision du 16 août 2021, l’OEP a ordonné le transfert du prénommé au sein de l’Etablissement pénitentiaire fermé Curabilis, à Puplinge, dès le 17 août 2021, avec la poursuite du traitement thérapeutique entrepris auprès du Service des mesures institutionnelle (SMI) de Curabilis (P. 41). Par décision du 4 mars 2021, l’OEP a autorisé le transfert d’A.________ au sein du secteur fermé de la Colonie des EPO (P. 9). Le 17 août 2021, le prénommé a été transféré par l’OEP au sein de l'Etablissement pénitentiaire fermé de Curabilis avec poursuite du mandat thérapeutique au sens de l’art. 59 CP. c) Par ordonnances des 18 juin 2018 et 12 janvier 2020, le Juge d’application des peines a refusé la libération conditionnelle à A.________ de la mesure thérapeutique institutionnelle au sens de l’art. 59 CP. d) Par saisine du 19 janvier 2021, l’OEP a proposé au Juge d’application des peines de refuser à A.________ la libération conditionnelle de la mesure thérapeutique institutionnelle au sens de l’art. 59 CP. e) Par ordonnances des 4 février 2022, – confirmée par arrêt de la Chambre des recours pénale du Tribunal cantonal du 2 mars 2022 – ,17 mai 2022 – confirmée par arrêt de la Chambre des recours pénale du Tribunal cantonal du 30 mai 2022 –, 15 novembre 2022 et 15 mai 2023, le</w:t>
      </w:r>
    </w:p>
    <w:p>
      <w:r>
        <w:t>- 3 - Tribunal des mesures de contrainte a notamment ordonné la prolongation, en lieu et place de la détention pour des motifs de sûreté d’A.________, d’une mesure de substitution à forme de la poursuite de son placement au sein de l’Etablissement fermé Curabilis ou de toute autre institution ou établissement jugé approprié par l’OEP, la dernière fois pour une durée de six mois, soit jusqu’au 21 novembre 2023, afin de pouvoir statuer en connaissance de cause sur le fond de l’affaire. B. Par ordonnance du 7 septembre 2023, la Juge d’application des peines a refusé d’accorder à A.________ la libération conditionnelle de la mesure thérapeutique institutionnelle au sens de l’art. 59 CP, ordonnée le 23 février 2017 par le Tribunal correctionnel de l’arrondissement de Lausanne (I), a prolongé la mesure thérapeutique institutionnelle au sens de l’art. 59 CP pour une durée de trois ans, à compter du 23 février 2022, soit jusqu’au 23 février 2025 (II), a arrêté l’indemnité de Me Michel Dupuis, défenseur d’office d’A.________, à 4'987 fr. 05, débours et TVA compris (III), et a laissé les frais de cette ordonnance, y compris l’indemnité allouée au défenseur d’office fixée au chiffre III ci-dessus, à la charge de l’Etat (IV). En substance, la Juge d’application des peines a retenu que la libération conditionnelle de la mesure thérapeutique institutionnelle au sens de l’art. 59 CP était prématurée et que celle-ci devait être prolongée, dès lors qu’elle gardait encore son sens. Elle serait prolongée de trois ans, à compter du 23 février 2022, soit jusqu’au 23 février 2025. Cette durée apparaissait proportionnée, ce d’autant plus que l’OEP avait d’ores et déjà indiqué avoir entrepris les démarches afin de trouver un établissement approprié, avec conduite à Belle-Idée. Il conviendrait que l’OEP continue de tout mettre en œuvre pour trouver un établissement plus ouvert, conformément aux conclusions de l’expertise psychiatrique. Cela étant, sans faits psychiatriques nouveaux venant modifier le risque de récidive verbale, il ne pouvait être, a priori, considéré que cette durée pouvait être prolongée pour trouver un établissement plus ouvert ou pour venir observer A.________. En effet, au regard du respect du principe de proportionnalité, il était rappelé que l’intéressé était privé de sa liberté depuis des années et que les experts avaient indiqué que le risque de</w:t>
      </w:r>
    </w:p>
    <w:p>
      <w:r>
        <w:t>- 4 - récidive ne concernait pas des actes de violences physiques. Il appartiendrait dès lors à l’autorité d’exécution de saisir à nouveau le Juge d’application des peines, cas échéant avec une libération conditionnelle, subordonnée à l’entrée dans un établissement et/ou avec dénonciation du cas à la justice de paix. Selon les éléments figurant au dossier, l’intéressé était au bénéfice d’une rente AI et faisait l’objet d’une curatelle de portée générale. C. Par acte daté du 14 septembre 2023, déposé le 18 septembre 2023, A.________, agissant seul, a recouru auprès de la Chambre des recours pénale contre cette ordonnance. Il n’a pas été ordonné d’échange d’écritures.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w:t>
      </w:r>
    </w:p>
    <w:p>
      <w:r>
        <w:t>- 5 - 1.2.1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w:t>
      </w:r>
    </w:p>
    <w:p>
      <w:r>
        <w:t>- 6 - procédure pénale suisse, 2e éd. 2019, n. 21 ad art. 385 CPP ; Guidon, in : Basler Kommentar, op. cit., n. 9c ad art. 396 StPO et les références citées). 1.2.2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1.2.3 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 criminels est manifestement outrancier et inconvenant (TF 1B_387/2013 du 1er novembre 2013 ; CREP 18 février 2019/90 ; CREP 24 février 2020/136).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du 22 juin 2016 consid. 3.1 et 3.3 ; TF</w:t>
      </w:r>
    </w:p>
    <w:p>
      <w:r>
        <w:t>- 7 - 1B_465/2013 du 8 janvier 2014 consid. 2 ; CREP 30 octobre 2019/770 ; CREP 24 février 2020/136). 1.3 En l’espèce, on relèvera d’abord que, dans son écriture, le recourant requiert un changement de défenseur d’office, pour le motif que celui-ci refuserait de le défendre et « de faire le nécessaire ». Cela étant, l’ordonnance attaquée ne porte pas sur ce point et, au stade du recours, A.________ n’émet pas de griefs suffisamment étayés pour envisager un changement en urgence, en application de l’art. 388 let. c CPP par analogie. Il appartiendra donc au recourant, le cas échéant, de reformuler sa demande en temps voulu. Le recourant requiert également que ses « manuscrits originaux » lui soient envoyés. Cela étant, s’il souhaite des pièces du dossier, il lui est loisible de s’adresser à son avocat. Pour le surplus, l’écriture du recourant, largement incompréhensible, comporte en outre des propos outranciers et inconvenants à l’égard notamment des autorités pénitentiaires, de la magistrature vaudoise et des experts, en les assimilant en particulier à une « organisation criminelle », à la « mafia scientologue » ou à des « terroristes ». De tels propos sont inadmissibles. Bien que les termes utilisés dans son écriture soient inconvenants au sens de l’art. 110 al. 4 CPP, il sera renoncé à faire application de cette disposition et à impartir au recourant un délai pour corriger son acte, dès lors que le recours doit de toute manière être déclaré irrecevable pour d’autres motifs. Dans son acte, le recourant se borne en effet à indiquer, sans plus amples explications, que l’ordonnance attaquée serait fausse et mensongère. Ainsi, cet écrit ne permet pas de comprendre les points de la décision du 7 septembre 2023 qui sont contestés, ni les motifs qui commanderaient une autre décision. Il s’agit bien plutôt d’une succession de commentaires et de considérations répétées au sujet de son prétendu statut de victime. Très en substance, il se plaint d’être accusé à tort par la secte de la Scientologie, qui s’acharnerait contre lui et qui aurait monté un</w:t>
      </w:r>
    </w:p>
    <w:p>
      <w:r>
        <w:t>- 8 - dossier juridique contre lui de manière criminelle et « avec des méthodes de mafieux de la pire espèce ». Il ne développe donc aucun moyen concret et spécifique contre la motivation de l’ordonnance attaquée. Un tel défaut de motivation ne saurait justifier qu'un délai supplémentaire soit fixé au recourant pour compléter son acte en application de l'art. 385 al. 2 CPP. 2. Il résulte de ce qui précède que l’acte déposé le 18 septembre 2023 par A.________ est irrecevable. Les frais de la procédure de recours, constitués en l’espèce du seul émolument d’arrêt (art. 422 al. 1 CPP), par 880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880 fr. (huit cent huitante francs), sont mis à la charge d’A.________. III. L’arrêt est exécutoire. La présidente : La greffière : Du Le présent arrêt, dont la rédaction a été approuvée à huis clos, est notifié, par l'envoi d'une copie complète, à : - Me Michel Dupuis, avocat (pour A.________),</w:t>
      </w:r>
    </w:p>
    <w:p>
      <w:r>
        <w:t>- 9 - - M. A.________, - Ministère public central ; et communiqué à : - Mme la Juge d’application des peines, - M. le Procureur du Ministère public central, division affaires spéciales, - Office d’exécution des peines, - Direction de l’Etablissement fermé Curabilis, - M. [...], SCTP, - Mme Maroussia Pitteloud, Juge de paix,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