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AP20.022551 vom 27. Januar 2021</w:t>
      </w:r>
    </w:p>
    <w:p>
      <w:r>
        <w:t>VD Tribunal cantonal, 2021-01-27, FR</w:t>
      </w:r>
    </w:p>
    <w:p>
      <w:r>
        <w:rPr>
          <w:b/>
        </w:rPr>
        <w:t xml:space="preserve">Quelle: </w:t>
      </w:r>
      <w:r>
        <w:t>https://mcp.opencaselaw.ch/entscheid/vd_gerichte_AP20.022551</w:t>
      </w:r>
    </w:p>
    <w:p>
      <w:r>
        <w:t>FR: VD_GERICHTE AP20.022551 du 27 janvier 2021</w:t>
      </w:r>
    </w:p>
    <w:p>
      <w:r>
        <w:t>IT: VD_GERICHTE AP20.022551 del 27 gennaio 2021</w:t>
      </w:r>
    </w:p>
    <w:p>
      <w:pPr>
        <w:pStyle w:val="Heading2"/>
      </w:pPr>
      <w:r>
        <w:t>Volltext</w:t>
      </w:r>
    </w:p>
    <w:p>
      <w:r>
        <w:t>TRIBUNAL CANTONAL 79 AP20.022551-SDE CHAMBRE DE S RECO URS PEN ALE __________________________________________ Arrêt du 27 janvier 2021 __________________ Composition : M. PERROT, président Mme Fonjallaz et M. Krieger, juges Greffière : Mme de Benoit ***** Art. 385 al. 1 CPP ; 29 al. 3 Cst. Statuant sur le recours interjeté le 22 janvier 2021 par X.________ contre l’ordonnance rendue le 11 janvier 2021 par le Juge d’application des peines dans la cause n° AP20.022551-SDE, la Chambre des recours pénale considère : En fait : A. a) Par ordonnance pénale du 26 février 2020, le Ministère public cantonal Strada a condamné X.________, né le [...] 1994 et ressortissant du [...], pour vol et rupture de ban à une peine privative de liberté de 180 jours. 351</w:t>
      </w:r>
    </w:p>
    <w:p>
      <w:r>
        <w:t>- 2 - Par ordonnance pénale du 26 juin 2020, le Ministère public du canton de Genève a condamné X.________ pour rupture de ban à une peine privative de liberté de 180 jours, sous déduction de 1 jour de détention provisoire. b) X.________ est incarcéré depuis le 26 juin 2020. Il aura atteint les deux tiers de ses peines le 20 février 2021. c) Hormis les peines qu’il exécute actuellement, l’extrait du casier judiciaire d’X.________ comporte dix condamnations, prononcées entre le 19 janvier 2014 et le 21 mai 2019, à des peines comprises entre 45 jours et 11 mois de privation de liberté, notamment pour vol, dommages à la propriété, recel, violation de domicile, faux dans les certificats, séjour illégal et violation des règles de la circulation routière. d) Par jugement du 21 mai 2019, le Tribunal de police de l’arrondissement de l’Est vaudois a prononcé l’expulsion judiciaire d’X.________ du territoire suisse pour une durée de 5 ans. e) Par ordonnances des 28 août 2014, 2 août 2017 et 5 juillet 2019, le Juge d’application des peines a refusé la libération conditionnelle d’X.________ dans le cadre de l’exécution de ses précédentes peines privatives de liberté. f) Selon les renseignements communiqués le 2 juillet 2020 par le Service de la population à l’Office d’exécution des peines, X.________ ne possède aucune autorisation de séjour en Suisse et devra pas conséquent quitter le territoire à sa sortie de prison. L’intéressé fait l’objet d’une décision fédérale de renvoi depuis le 26 septembre 2014, date du rejet de sa demande d’asile par le SEM (Secrétariat d’Etat aux migrations). Une interdiction d’entrée en Suisse, valable du 11 mars 2019 au 14 décembre 2022, dûment notifiée, a été prononcée à son encontre. Il n’a jamais collaboré avec les autorités administratives et un retour dans son pays d’origine n’est pas envisageable sans document d’identité.</w:t>
      </w:r>
    </w:p>
    <w:p>
      <w:r>
        <w:t>- 3 - B. a) Dans son rapport du 26 novembre 2020, la direction de la Prison de la Croisée a indiqué qu’X.________ était poli et correct envers le personnel et ne rencontrait pas de problèmes particuliers avec ses codétenus, même si son humeur était décrite comme étant très changeante, puisqu’il pouvait s’emporter à la moindre contrariété. La direction de la prison a également relevé que l’intéressé avait débuté des cours FEP (formation dans l’exécution des peines), mais qu’il en avait été exclu à cause de son comportement inapproprié envers l’enseignante et les détenus. Finalement, il a fait l’objet de trois sanctions disciplinaires, pour refus d’obtempérer, insultes et menaces notamment. Au terme de son rapport, la direction de la Prison de la Croisée a formulé un préavis défavorable à la libération conditionnelle d’X.________. b) Le 22 décembre 2020, l’Office d’exécution des peines a saisi le Juge d’application des peines d’une proposition tendant au refus de la libération conditionnelle d’X.________. c) X.________ n’a pas produit de déterminations dans le délai imparti à cet effet par la Juge d’application des peines. d) Par ordonnance du 11 janvier 2021, le Juge d’application des peines a refusé la libération conditionnelle à X.________ (I) et a laissé les frais de cette décision à la charge de l’Etat (II). Le premier juge a considéré que les deux premières conditions de l’art. 86 al. 1 CP étaient remplies, mais que le pronostic de l’intéressé était clairement défavorable. Cette autorité a également relevé que l’intéressé avait été condamné à douze reprises depuis 2014 et qu’il avait déjà effectué plusieurs séjours en prison, sans que cela n’exerce le moindre effet préventif sur ses comportements délictueux. Son absence de titre de séjour et de collaboration pour l’exécution de son renvoi a également été prise en considération. Il a ainsi été estimé qu’en cas de libération, X.________ se retrouverait dans la même situation que celle qui prévalait au moment de toutes ses condamnations, ce qui entraînerait immanquablement une nouvelle récidive.</w:t>
      </w:r>
    </w:p>
    <w:p>
      <w:r>
        <w:t>- 4 - C. Par acte daté du 20 janvier 2021 et posté le 22 janvier 2021, X.________ a interjeté recours contre l’ordonnance précitée, sans formuler de conclusions. Il a également requis la désignation d’un défenseur d’office. Il n’a pas été ordonné d’échange d’écritures.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le recours a été interjeté en temps utile et devant l’autorité compétente par le condamné qui a qualité pour recourir (art. 382 al. 1 CPP). 1.2 Les exigences de motivation du recours sont posées à l’art. 385 al. 1 CPP. Selon cette disposition, la personne ou l’autorité qui recourt doit indiquer précisément les points de la décision qu’elle attaque (let. a),</w:t>
      </w:r>
    </w:p>
    <w:p>
      <w:r>
        <w:t>- 5 -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[édit.], Kommentar zur Schweizerischen Strafprozessordnung, 2e éd., Zurich/Bâle/Genève 2014, n. 2 ad art. 385 CPP). Ainsi, il doit indiquer dans quelle mesure et sous quel angle il entend critiquer l’établissement des faits ou l’application du droit (Calame, in : Kuhn/Jeanneret/Perrier Depeursinge [édit.], Commentaire romand, Code de procédure pénale suisse,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w:t>
      </w:r>
    </w:p>
    <w:p>
      <w:r>
        <w:t>- 6 - compléter un acte dépourvu de motivation (TF 6B_705/2019 du 5 septembre 2019 consid. 3.2.2 ; TF 6B_510/2018 du 31 juillet 2018 consid. 1 et les réf. cit. ; cf. aussi CREP 11 septembre 2020/694 consid. 4.3.1). 1.3 En l’espèce, le recours ne comporte aucune motivation. Le recourant ne développe aucun moyen de fait ou de droit pour demander la modification de l’ordonnance entreprise. Il ne soutient en particulier pas que le pronostic ne serait pas défavorable ou encore qu’il serait disposé à collaborer avec les autorités administratives en vue d’exécuter son renvoi dans son pays d’origine. Dans ces circonstances, le recours souffre d’un défaut de motivation, auquel on ne peut pas suppléer en application de l’art. 385 al. 2 CPP (cf. supra, consid. 1.2). 2. 2.1 Le recourant a requis la désignation d’un défenseur d’office. 2.2 Aux termes de l'art. 6 par. 3 let. c CEDH, tout accusé a droit à se défendre lui-même ou avoir l'assistance d'un défenseur de son choix et, s'il n'a pas les moyens de rémunérer un défenseur, pouvoir être assisté gratuitement par un avocat d'office, lorsque les intérêts de la justice l'exigent.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Ces dispositions confèrent au justiciable une garantie minimale, dont le Tribunal fédéral examine librement le respect (ATF 142 III 131 consid. 4.1 ; TF 2C_165/2019 du 14 février 2019 consid. 5.1 ; TF 2C_1056/2015 du 20 janvier 2016 consid. 4.1). L'art. 29 al. 3 Cst. conditionne notamment l'octroi de l'assistance judiciaire gratuite à l'existence de chances de succès dans la cause de celui qui réclame celle- ci (cf. ATF 139 III 396 consid. 1.2 ; ATF 139 I 206 consid. 3.3.1 ; ATF 138 III 217 consid. 2.2.4 ; ATF 133 III 614 consid. 5 ; ATF 129 I 129 consid. 2.3.1 ;</w:t>
      </w:r>
    </w:p>
    <w:p>
      <w:r>
        <w:t>- 7 - TF 6B_72/2020 du 8 avril 2020 consid.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 ATF 138 III 217 consid. 2.2.4 ; ATF 129 I 129 consid. 2.2). 2.3 En l’espèce, le recourant ne se plaint pas qu’un avocat d’office ne lui aurait pas été désigné précédemment. Il n’a en particulier pas donné suite à l’avis du Juge d’application des peines du 22 décembre 2020 et n’a ainsi pas requis qu’un défenseur d’office lui soit désigné pour la procédure de première instance. La requête tendant à la désignation d’un défenseur d’office pour la procédure de recours doit être rejetée, le recours apparaissant d'emblée dénué de chances de succès (cf. CREP 27 janvier 2020/46 consid. 2 ; CREP 10 mai 2019/387; CREP 13 mars 2018/198). En effet, le recourant est multirécidiviste, sous le coup d’une mesure d’expulsion et s’est déjà vu refuser trois fois la libération conditionnelle dans le cadre de l’exécution de précédentes peines privatives de liberté. Son pronostic est donc très clairement défavorable. Il ne se justifie par conséquent pas de lui désigner un défenseur d’office. 3. Au vu de ce qui précède, le recours doit être déclaré irrecevable et la demande tendant à la désignation d’un défenseur d’office doit être rejetée.</w:t>
      </w:r>
    </w:p>
    <w:p>
      <w:r>
        <w:t>- 8 -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de désignation d’un défenseur d’office est rejetée. III. Les frais d’arrêt, par 770 fr. (sept cent septante francs), sont mis à la charge d’X.________. IV. L’arrêt est exécutoire. Le président : La greffière : Du Le présent arrêt, dont la rédaction a été approuvée à huis clos, est notifié, par l'envoi d'une copie complète, à : - X.________, - Ministère public central, et communiqué à : - Mme la Juge d’application des peines, - M. le Procureur cantonal Strada, - Office d’exécution des peines, - Direction de la prison de la Croisée,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