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AP20.017276 vom 21. Dezember 2020</w:t>
      </w:r>
    </w:p>
    <w:p>
      <w:r>
        <w:t>VD Tribunal cantonal, 2020-12-21, FR</w:t>
      </w:r>
    </w:p>
    <w:p>
      <w:r>
        <w:rPr>
          <w:b/>
        </w:rPr>
        <w:t xml:space="preserve">Quelle: </w:t>
      </w:r>
      <w:r>
        <w:t>https://mcp.opencaselaw.ch/entscheid/vd_gerichte_AP20.017276</w:t>
      </w:r>
    </w:p>
    <w:p>
      <w:r>
        <w:t>FR: VD_GERICHTE AP20.017276 du 21 décembre 2020</w:t>
      </w:r>
    </w:p>
    <w:p>
      <w:r>
        <w:t>IT: VD_GERICHTE AP20.017276 del 21 dicembre 2020</w:t>
      </w:r>
    </w:p>
    <w:p>
      <w:pPr>
        <w:pStyle w:val="Heading2"/>
      </w:pPr>
      <w:r>
        <w:t>Erwägungen</w:t>
      </w:r>
    </w:p>
    <w:p>
      <w:r>
        <w:rPr>
          <w:b/>
        </w:rPr>
        <w:t>E. 2</w:t>
      </w:r>
    </w:p>
    <w:p>
      <w:r>
        <w:t>décembre 2020, le Juge d’application des peines a libéré conditionnellement Q.________ dès le jour où son renvoi de Suisse pourrait être mis en œuvre, mais au plus tôt le 28 novembre 2020 (I) a fixé à un an la durée du délai d’épreuve imparti au condamné (II) et a laissé les frais de la décision à la charge de l’Etat (III). En substance, le premier juge a considéré que les conditions de l’art. 86 al. 1 CP (Code pénal suisse du 21 décembre 1937 ; RS 311.0) étaient réalisées, les éléments au dossier attestant du bon comportement de Q.________ durant l’exécution et d’un pronostic favorable quant à la conduite future de l’intéressé. Ce pronostic étant toutefois en grande partie fondé sur le départ de Suisse de Q.________, la libération conditionnelle était subordonnée à son renvoi dans un pays où il aurait le droit de résider et de travailler. C. Par acte du 11 décembre 2020, Q.________ a recouru contre cette ordonnance en concluant, avec suite de frais et dépens, à sa réforme en ce sens qu’il est libéré conditionnellement dès le 28 novembre 2020. A titre subsidiaire, il a conclu à la réforme de l’ordonnance en ce sens qu’il est libéré conditionnellement dès le 28 novembre 2020, dès le jour où son renvoi pourra être mis en œuvre ou dès le jour de la régularisation de ses conditions de séjour en Suisse. Encore plus subsidiairement, il a conclu à</w:t>
      </w:r>
    </w:p>
    <w:p>
      <w:r>
        <w:t>- 4 - l’annulation de l’ordonnance querellée et au renvoi de la cause au premier juge pour nouvelle décision. Il a produit un lot de pièces.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et il satisfait aux conditions de forme posées par l’art. 385 al. 1 CPP.</w:t>
      </w:r>
    </w:p>
    <w:p>
      <w:r>
        <w:rPr>
          <w:b/>
        </w:rPr>
        <w:t>E. 2.1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w:t>
      </w:r>
    </w:p>
    <w:p>
      <w:r>
        <w:t>- 5 - un droit subjectif. L’intérêt doit donc être personnel (CREP 21 juin 2019/506 consid. 2.1 ; CREP 2018/956 consid. 2.1 ; CREP 19 janvier 2016/31 consid. 1.2 et réf. cit.).</w:t>
      </w:r>
    </w:p>
    <w:p>
      <w:r>
        <w:rPr>
          <w:b/>
        </w:rPr>
        <w:t>E. 2.2</w:t>
      </w:r>
    </w:p>
    <w:p>
      <w:r>
        <w:t>Le recourant se plaint d’une mauvaise appréciation des faits. Il expose de manière détaillée sa situation en Suisse, produisant en particulier une décision du SPOP du 2 décembre 2020 prononçant son renvoi dont il ressort que, ce renvoi pouvant être illicite, le dossier serait transmis au Secrétariat d’Etat aux migrations (ci-après : le SEM) à l’entrée en force de cette décision en vue de son admission provisoire. Le recourant soutient qu’il ne s’opposera pas à la décision cantonale et qu’il requerra du SEM qu’il prononce son admission provisoire.</w:t>
      </w:r>
    </w:p>
    <w:p>
      <w:r>
        <w:rPr>
          <w:b/>
        </w:rPr>
        <w:t>E. 2.3</w:t>
      </w:r>
    </w:p>
    <w:p>
      <w:r>
        <w:t>Le grief du recourant porte en réalité sur la condition à laquelle sa libération conditionnelle est subordonnée. Or, la libération conditionnelle du recourant a été ordonnée conformément à sa situation et son statut en Suisse en l’état actuel du dossier. Si ceux-ci devaient évoluer, le recourant pourrait à nouveau saisir le premier juge d’une demande d’examen de sa libération conditionnelle pour tenir compte des modifications survenues. En l’état, ni le Juge d'application des peines, ni la Cour de céans n’ont toutefois la compétence de statuer sur ces points. Bien plutôt, ils doivent prendre acte de l'existence d'une décision administrative définitive sur la question du statut juridique du recourant en Suisse (TF 6B_40/2015 du 5 février 2015 consid. 2.2 ; CREP 21 juin 2019/506 consid. 2.2 ; CREP 4 avril 2019/274 consid. 2.2 ; CREP 14 septembre 2018/709 consid. 2.2 ; CREP 9 avril 2018/257 consid. 1.4). Cela étant, le recourant ne peut se prévaloir d’aucun intérêt juridiquement protégé à l’annulation de l’ordonnance attaquée. En conséquence, son recours est irrecevable.</w:t>
      </w:r>
    </w:p>
    <w:p>
      <w:r>
        <w:rPr>
          <w:b/>
        </w:rPr>
        <w:t>E. 3</w:t>
      </w:r>
    </w:p>
    <w:p>
      <w:r>
        <w:t>Au vu de ce qui précède, le recours, manifestement irrecevable, doit être écarté sans échange d’écritures (art. 390 al. 2 CPP).</w:t>
      </w:r>
    </w:p>
    <w:p>
      <w:r>
        <w:t>- 6 -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de Q.________. III. L’arrêt est exécutoire. Le président : Le greffier : Du Le présent arrêt, dont la rédaction a été approuvée à huis clos, est notifié, par l'envoi d'une copie complète, à : - Me Martine Dang, avocate (pour Q.________), - Ministère public central, et communiqué à : - Mme la Juge d’application des peines, - Mme la Procureure de l’arrondissement de La Broye et du Nord vaudois, - Office d’exécution des peines (réf. : OEP/CPPL/153881/lmv), - Direction de la prison de Porrentruy, - Service de la population,</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