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AP20.017253 vom 3. Dezember 2020</w:t>
      </w:r>
    </w:p>
    <w:p>
      <w:r>
        <w:t>VD Tribunal cantonal, 2020-12-03, FR</w:t>
      </w:r>
    </w:p>
    <w:p>
      <w:r>
        <w:rPr>
          <w:b/>
        </w:rPr>
        <w:t xml:space="preserve">Quelle: </w:t>
      </w:r>
      <w:r>
        <w:t>https://mcp.opencaselaw.ch/entscheid/vd_gerichte_AP20.017253</w:t>
      </w:r>
    </w:p>
    <w:p>
      <w:r>
        <w:t>FR: VD_GERICHTE AP20.017253 du 3 décembre 2020</w:t>
      </w:r>
    </w:p>
    <w:p>
      <w:r>
        <w:t>IT: VD_GERICHTE AP20.017253 del 3 dicembre 2020</w:t>
      </w:r>
    </w:p>
    <w:p>
      <w:pPr>
        <w:pStyle w:val="Heading2"/>
      </w:pPr>
      <w:r>
        <w:t>Erwägungen</w:t>
      </w:r>
    </w:p>
    <w:p>
      <w:r>
        <w:rPr>
          <w:b/>
        </w:rPr>
        <w:t>E. 1</w:t>
      </w:r>
    </w:p>
    <w:p>
      <w:r>
        <w:t>Par avis du 24 septembre 2020, l’Office d’exécution des peines a informé J.________ qu’il serait transféré de la Prison de la Croisée à la Prison de Pöschwies. 353</w:t>
      </w:r>
    </w:p>
    <w:p>
      <w:r>
        <w:t>- 2 -</w:t>
      </w:r>
    </w:p>
    <w:p>
      <w:r>
        <w:rPr>
          <w:b/>
        </w:rPr>
        <w:t>E. 2</w:t>
      </w:r>
    </w:p>
    <w:p>
      <w:r>
        <w:t>Par acte du 29 septembre 2020, J.________, par son défenseur, a recouru contre ce transfert.</w:t>
      </w:r>
    </w:p>
    <w:p>
      <w:r>
        <w:rPr>
          <w:b/>
        </w:rPr>
        <w:t>E. 3</w:t>
      </w:r>
    </w:p>
    <w:p>
      <w:r>
        <w:t>Le 27 novembre 2020, J.________, par son défenseur, a déclaré qu’il retirait son recours.</w:t>
      </w:r>
    </w:p>
    <w:p>
      <w:r>
        <w:rPr>
          <w:b/>
        </w:rPr>
        <w:t>E. 4</w:t>
      </w:r>
    </w:p>
    <w:p>
      <w:r>
        <w:t>Il y a lieu de prendre acte du retrait du recours et de rayer la cause du rôle (art. 386 al. 2 let. b CPP [Code de procédure pénale suisse du 5 octobre 2017 ; BLV 312.0]).</w:t>
      </w:r>
    </w:p>
    <w:p>
      <w:r>
        <w:rPr>
          <w:b/>
        </w:rPr>
        <w:t>E. 5</w:t>
      </w:r>
    </w:p>
    <w:p>
      <w:r>
        <w:t>Les frais de la procédure de recours, par 220 fr. (art. 20 al. 1 TFIP [Tarif des frais de procédure et indemnités en matière pénale du 28 septembre 2010 ; BLV 312.03.1]), seront mis à la charge du recourant, qui est considéré comme ayant succombé (art. 428 al. 1, 2e phrase CPP). Par ces motifs, la Chambre des recours pénale prononce : I. Il est pris acte du retrait du recours. II. La cause est rayée du rôle. III. Les frais d'arrêt, par 220 fr. (deux cent vingt francs), sont mis à la charge de J.________. IV. L’arrêt est exécutoire. Le président : La greffière : Du Le présent arrêt, dont la rédaction a été approuvée à huis clos, est notifié, par l'envoi d'une copie complète, à : - Me Giuliano Scuderi, avocat (pour J.________), - Ministère public central,</w:t>
      </w:r>
    </w:p>
    <w:p>
      <w:r>
        <w:t>- 3 - et communiqué à : - Office d’exécution des peines, - Direction de la prison de Pöschwies,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