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AP20.013816 vom 1. März 2021</w:t>
      </w:r>
    </w:p>
    <w:p>
      <w:r>
        <w:t>VD Tribunal cantonal, 2021-03-01, FR</w:t>
      </w:r>
    </w:p>
    <w:p>
      <w:r>
        <w:rPr>
          <w:b/>
        </w:rPr>
        <w:t xml:space="preserve">Quelle: </w:t>
      </w:r>
      <w:r>
        <w:t>https://mcp.opencaselaw.ch/entscheid/vd_gerichte_AP20.013816</w:t>
      </w:r>
    </w:p>
    <w:p>
      <w:r>
        <w:t>FR: VD_GERICHTE AP20.013816 du 1 mars 2021</w:t>
      </w:r>
    </w:p>
    <w:p>
      <w:r>
        <w:t>IT: VD_GERICHTE AP20.013816 del 1 marzo 2021</w:t>
      </w:r>
    </w:p>
    <w:p>
      <w:pPr>
        <w:pStyle w:val="Heading2"/>
      </w:pPr>
      <w:r>
        <w:t>Erwägungen</w:t>
      </w:r>
    </w:p>
    <w:p>
      <w:r>
        <w:rPr>
          <w:b/>
        </w:rPr>
        <w:t>E. 1.1</w:t>
      </w:r>
    </w:p>
    <w:p>
      <w:r>
        <w:t>Le défenseur d’office peut recourir devant l’autorité de recours (cf. art. 20 CPP [Code de procédure pénale suisse du 5 octobre 2007 ; RS 312.0]) contre la décision du Ministère public ou du tribunal de première</w:t>
      </w:r>
    </w:p>
    <w:p>
      <w:r>
        <w:t>- 5 - instance fixant son indemnité (art. 135 al. 3 let. a CPP ;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d’organisation judiciaire du 12 décembre 1979 ; BLV 173.01]). Interjeté en temps utile devant l’autorité compétente par le défenseur d’office qui a qualité pour recourir contre la décision fixant son indemnité, le recours de A.________ est recevable.</w:t>
      </w:r>
    </w:p>
    <w:p>
      <w:r>
        <w:rPr>
          <w:b/>
        </w:rPr>
        <w:t>E. 1.2</w:t>
      </w:r>
    </w:p>
    <w:p>
      <w:r>
        <w:t>Lorsque le recours porte uniquement sur les conséquences économiques accessoires d'une décision et que le montant litigieux ne dépasse pas 5'000 fr., un juge de la Cour de céans statue comme juge unique (art. 395 let. b CPP et 13 al. 2 LVCPP). L’indemnité due au défenseur ou au conseil d'office entre dans la notion de conséquences économiques d'une décision (Schmid/Jositsch, Handbuch des schweizerischen Strafprozessrechts, 3e éd., 2017, n. 1521 ; Stephenson/Thiriet, in : Niggli/Heer/Wiprächtiger [éd.], Basler Kommentar, Schweizerische Strafprozessordnung, Jugendstrafprozessordnung, 2e éd., Bâle 2014, n. 5 ad art. 395 CPP ; Message du Conseil fédéral du 21 décembre 2005 relatif à l’unification du droit de la procédure pénale [Message], FF 2006 pp. 1057 ss, spéc. p. 1297). Le montant litigieux, qui détermine s’il appartient à la Chambre des recours pénale en corps ou à un juge seul de statuer sur le recours, correspond à la différence entre le montant réclamé par le défenseur d’office et la somme allouée par la décision attaquée (cf. Stephenson/Thiriet, op. cit., n. 6 ad art. 395 CPP; Juge unique CREP 12 juin 2020/454 ; Juge unique CREP 22 mai 2020/397 ; Juge unique CREP 28 juin 2019/537). En l’occurrence, le recourant réclame, à titre d’indemnité d’office, un montant supplémentaire de 1'406 fr. (2'756 fr. 55 [montant</w:t>
      </w:r>
    </w:p>
    <w:p>
      <w:r>
        <w:t>- 6 - total réclamé] - 1'350 fr. 55 [montant alloué]), ce qui place le recours dans la compétence d’un membre de la Chambre des recours pénale en tant que juge unique.</w:t>
      </w:r>
    </w:p>
    <w:p>
      <w:r>
        <w:rPr>
          <w:b/>
        </w:rPr>
        <w:t>E. 2.1</w:t>
      </w:r>
    </w:p>
    <w:p>
      <w:r>
        <w:t>Le recourant reproche au premier juge d’avoir réduit son temps de travail à 6h sans aucune motivation ni aucune justification et d’avoir fixé son indemnité d’office à 1'350 fr. 55 de manière arbitraire. Il fait valoir que le premier juge aurait refusé à tort d’entrer en matière sur ses conclusions tendant au constat des conditions illicites de détention extraditionnelle d’B.________ en Macédoine et d’examiner les preuves requises en lien avec ces conclusions, qu’il n’aurait pas exposé les calculs l’ayant guidé dans sa décision et que ce vice de motivation pourrait être réparé dans le cadre de la procédure de recours.</w:t>
      </w:r>
    </w:p>
    <w:p>
      <w:r>
        <w:rPr>
          <w:b/>
        </w:rPr>
        <w:t>E. 2.2.1</w:t>
      </w:r>
    </w:p>
    <w:p>
      <w:r>
        <w:t>Le défenseur d’office du prévenu est indemnisé conformément au tarif des avocats de la Confédération ou du canton du for du procès (art. 135 al. 1 CPP).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références citées ; TF 6B_866/2019 du 12 septembre 2019 consid. 3.1 ; TF 6B_1231/2018 du 20 mars 2019 consid. 2.1.1). Dans le canton de Vaud, l'indemnité horaire de l’avocat d’office breveté est usuellement fixée à 180 fr. et celle de l’avocat- stagiaire à 110 fr., TVA en sus (art. 2 al. 1 let. a et b RAJ [Règlement sur l’assistance judiciaire en matière civile du 7 décembre 2010 ; BLV 211.02.3], applicable par renvoi de l'art. 26b TFIP [Tarif des frais de procédure et indemnités en matière pénale du 28 septembre 2010 ; BLV 312.03.1] ; ATF 137 III 185). Selon l’art. 3bis al. 1 et al. 3 RAJ, applicable par renvoi de l’art. 26b TFIP, les débours du conseil</w:t>
      </w:r>
    </w:p>
    <w:p>
      <w:r>
        <w:t>- 7 - commis d'office sont fixés forfaitairement à 5 % du défraiement hors taxe en première instance judiciaire et à 2 % du défraiement hors taxe en deuxième instance judiciaire et les vacations dans le canton de Vaud sont comptées forfaitairement à 120 fr. pour l'avocat breveté et à 80 fr. pour l'avocat stagiaire, ce forfait valant pour tout le canton et couvrant les frais et le temps de déplacement aller et retour (JdT 2018 III 4 consid. 2.2 ; Juge unique CREP 11 juin 2013/375).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12 juin 2020/454).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4 juillet 2017/442 consid. 3.1 et les réf. cit.).</w:t>
      </w:r>
    </w:p>
    <w:p>
      <w:r>
        <w:rPr>
          <w:b/>
        </w:rPr>
        <w:t>E. 2.2.2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(ATF 145 IV 99 consid. 3.1 ; ATF 143 IV 40 consid.</w:t>
      </w:r>
    </w:p>
    <w:p>
      <w:r>
        <w:t>- 8 - 3.4.3 ; ATF 143 III 65 précité). Lorsque le juge statue sur la base d'une liste de frais, il doit, s'il entend s'en écarter, au moins brièvement indiquer les raisons pour lesquelles il tient certaines prétentions pour injustifiées (TF 6B_1341/2019 du 20 février 2020 consid. 2.1 ; TF 6B_248/2019 du 29 mars 2019 consid. 2.1.2 ; TF 6B_1410/2017 du 15 juin 2018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La Chambre des recours pénale dispose d'un tel pouvoir d'examen, permettant de guérir le vice procédural invoqué (art. 398 al. 2 CPP).</w:t>
      </w:r>
    </w:p>
    <w:p>
      <w:r>
        <w:rPr>
          <w:b/>
        </w:rPr>
        <w:t>E. 2.3</w:t>
      </w:r>
    </w:p>
    <w:p>
      <w:r>
        <w:t>En l’espèce, dans sa liste d’opérations du 19 novembre 2020 (P. 13/2/2), le recourant a sollicité la rétribution de 13,95 heures pour le temps consacré au dossier d’B.________, ainsi qu’une vacation à la Prison du Bois-Mermet à 120 fr. et 125 fr. 55 de débours forfaitaires à 5%. Retenant 6h d’activité, le Juge d’application des peines a alloué au recourant une indemnité d’office de 1'350 fr. 55, dont 96 fr. 55 de TVA, 54 fr. de débours forfaitaires et 120 fr. de vacation. Pour motiver la réduction du nombre d’heures rétribuées, le premier juge a indiqué qu’une partie des écritures concernaient des conclusions d’emblée irrecevables et qu’un mandataire professionnel devait le savoir. Si cette motivation peut certes être qualifiée de succincte, elle permettait néanmoins au recourant de comprendre que le Juge d’application des peines avait retranché l’équivalent du temps qu’il avait consacré à toutes les opérations ayant trait aux conditions de détention de son client en Macédoine. Le recourant était donc parfaitement en mesure de comprendre pour quelles raisons sa rétribution avait été limitée à 6h</w:t>
      </w:r>
    </w:p>
    <w:p>
      <w:r>
        <w:t>- 9 - d’activité d’avocat, de sorte que l’on ne discerne aucune violation de son droit d’être entendu, le recourant ayant au demeurant été en mesure d’attaquer l’ordonnance litigieuse en toute connaissance de cause. Au vu de la liste d’opérations produite (P. 13/2/2) et des écritures déposées, on constate que le recourant a consacré une bonne partie de son activité à des opérations en lien avec les conditions de la détention extraditionnelle d’B.________ en Macédoine, ce alors même que toutes les démarches entreprises pour tenter d’établir l’illicéité des conditions de détention du prévenu en Macédoine étaient d’emblées dénuées de chance de succès et irrecevables en raison de l’incompétence manifeste des autorités judiciaires suisses et, partant, totalement inutiles à la défense de son client, ce qui ne pouvait pas échapper à l’attention d’un mandataire professionnel (cf. CREP 1er mars 2021/194 rendu dans la présente cause). Il s’ensuit que toutes les opérations en lien avec les conditions de la détention extraditionnelle du client du recourant doivent être retranchées. Dans ce sens, il convient tout d’abord de déduire des 13,95 heures d’activité alléguées les 3 heures consacrées le 13 août 2020 à des recherches juridiques en lien avec la détention du prévenu en Macédoine. Il convient également de ne pas tenir compte des opérations relatives à de simples courriers de transmission et à la préparation d’un bordereau de pièces comptabilisées à concurrence de 1,2 heure qui, de jurisprudence constante, ne sont pas indemnisables dès lors qu’il s’agit d’un travail de secrétariat. On obtient dès lors à ce stade un solde de 9,75 heures (13,95 – 3 – 1,2). Il convient ensuite d’estimer sur ces 9,75 heures quelle part de son activité le recourant a consacrée aux conditions de détention de son client en Macédoine En procédant à l’examen de la requête déposée le 13 août 2020 par le recourant (P. 3), on constate que sur les 44 allégués de cette requête, 19 allégués concernent exclusivement la détention extraditionnelle de son client, soit environ 40% du temps consacré à cette écriture, ce qui correspond à 1h d’activité. Quant aux déterminations déposées le 9 novembre 2020 (P. 11), pour lesquelles le recourant a consacré 1,4 h, on peut estimer à 50% le temps consacré à la détention</w:t>
      </w:r>
    </w:p>
    <w:p>
      <w:r>
        <w:t>- 10 - extraditionnelle du prévenu. Ainsi, la proportion du temps réservé par le recourant à la défense des intérêts de son client en lien avec les conditions de détention de celui-ci en Macédoine dans les deux écritures précitées porte sur 43% de son temps globalement consacré au dossier. Il s’ensuit que seuls les 57% des 9,75 heures d’activité du recourant retenues ci-avant doivent être pris en considération pour la fixation de l’indemnité d’office du recourant, ce qui représente 5,55 heures, que l’on peut arrondir à 6 heures, comme retenu par le premier juge. Partant, l’indemnité d’office allouée à l’avocat A.________ par le Juge d’application des peines, arrêtée à 1'080 fr. sur la base d’une activité d’avocat de 6 heures, plus 54 fr. de débours forfaitaires à 5%, une vacation à 120 fr. et 96 fr. 55 de TVA (art. 2 al. 1 let. a et 3bis al. 1 RAJ [Règlement sur l’assistance judiciaire en matière civile du 7 décembre 2010 ; BLV 211.02.3], applicables par renvoi de l’art. 26b TFIP), soit un montant total de 1'350 fr. 55, ne prête pas le flanc à la critique et doit être confirmée.</w:t>
      </w:r>
    </w:p>
    <w:p>
      <w:r>
        <w:rPr>
          <w:b/>
        </w:rPr>
        <w:t>E. 3</w:t>
      </w:r>
    </w:p>
    <w:p>
      <w:r>
        <w:t>Au vu de ce qui précède, le recours interjeté par Me A.________ doit être rejeté et le chiffre VII du dispositif de l’ordonnance attaquée confirmé. Les frais de la procédure de recours, constitués en l’espèce du seul émolument d’arrêt, par 1'100 fr. (art. 20 al. 1 TFIP [Tarif des frais de procédure et indemnités en matière pénale du 28 septembre 2010 ; BLV 312.03.1]), seront mis à la charge du recourant (art. 428 al. 1, 1re phr., CPP). Par ces motifs, le juge unique prononce : I. Le recours est rejeté. II. L’ordonnance rendue le 9 février 2021 est confirmée en tant</w:t>
      </w:r>
    </w:p>
    <w:p>
      <w:r>
        <w:t>- 11 - que l’indemnité d’office due à Me A.________ est arrêtée à 1'350 fr. 55 (mille trois cent cinquante francs et cinquante-cinq centimes). III. Les frais d’arrêt, par 1'100 fr. (mille cent francs), sont mis à la charge de A.________. IV. L’arrêt est exécutoire. Le juge unique : La greffière : Du Le présent arrêt, dont la rédaction a été approuvée à huis clos, est notifié, par l'envoi d'une copie complète, à : - Me A.________, avocat (pour lui-même et pour B.________), - Ministère public central, et communiqué à : - Mme la Juge d’application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