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AP20.010737 vom 20. August 2020</w:t>
      </w:r>
    </w:p>
    <w:p>
      <w:r>
        <w:t>VD Tribunal cantonal, 2020-08-20, FR</w:t>
      </w:r>
    </w:p>
    <w:p>
      <w:r>
        <w:rPr>
          <w:b/>
        </w:rPr>
        <w:t xml:space="preserve">Quelle: </w:t>
      </w:r>
      <w:r>
        <w:t>https://mcp.opencaselaw.ch/entscheid/vd_gerichte_AP20.010737</w:t>
      </w:r>
    </w:p>
    <w:p>
      <w:r>
        <w:t>FR: VD_GERICHTE AP20.010737 du 20 août 2020</w:t>
      </w:r>
    </w:p>
    <w:p>
      <w:r>
        <w:t>IT: VD_GERICHTE AP20.010737 del 20 agosto 2020</w:t>
      </w:r>
    </w:p>
    <w:p>
      <w:pPr>
        <w:pStyle w:val="Heading2"/>
      </w:pPr>
      <w:r>
        <w:t>Erwägungen</w:t>
      </w:r>
    </w:p>
    <w:p>
      <w:r>
        <w:rPr>
          <w:b/>
        </w:rPr>
        <w:t>E. 1</w:t>
      </w:r>
    </w:p>
    <w:p>
      <w:r>
        <w:t>CPP, qui interdit la prolongation des délais fixés par la loi et n’autorise pas la partie à compléter un acte dépourvu de motivation (TF 6B_510/2018 du 31 juillet 2018 consid. 1 et les réf. citées; TF 1B_232/2017 du 19 juillet 2017 consid. 2.4.3; CREP 22 juin 2020/487; cf. aussi CREP du</w:t>
      </w:r>
    </w:p>
    <w:p>
      <w:r>
        <w:rPr>
          <w:b/>
        </w:rPr>
        <w:t>E. 1.1</w:t>
      </w:r>
    </w:p>
    <w:p>
      <w:r>
        <w:t>Le recours dirigé contre une décision du Juge d'application des peines (art. 38 al. 1 et 2 LEP [Loi sur l'exécution des condamnations pénales du 4 juillet 2006; BLV 340.01]), s’exerce par écrit dans les dix</w:t>
      </w:r>
    </w:p>
    <w:p>
      <w:r>
        <w:t>- 3 - jours devant l’autorité de recours (art. 396 al. 1 CPP; cf. art. 20 al. 1 let. b CPP [Code de procédure pénale suisse du 5 octobre 2007; RS 312.0]), qui est, dans le canton de Vaud, la Chambre des recours pénale du Tribunal cantonal (art. 13 LVCPP [Loi d’introduction du Code de procédure pénale suisse du 19 mai 2009; BLV 312.01]; art. 80 LOJV [Loi d’organisation judiciaire du 12 décembre 1979; BLV 173.01]). Le détenu a la qualité pour recourir (art. 382 al. 1 CPP) contre le refus de sa libération conditionnelle. Autre est toutefois la question de savoir si le recours, transmis d’office à l’autorité compétente (art. 91 al. 4 CPP), a été établi dans les formes prescrites.</w:t>
      </w:r>
    </w:p>
    <w:p>
      <w:r>
        <w:rPr>
          <w:b/>
        </w:rPr>
        <w:t>E. 1.2.1</w:t>
      </w:r>
    </w:p>
    <w:p>
      <w:r>
        <w:t>Le recours s’exerce par le dépôt d’un mémoire écrit et dûment motivé (art. 390 al. 1 et 396 al. 1 CPP). L’acte doit être signé par le recourant, respectivement son mandataire dûment légitimé (Calame, in : Jeanneret/Kuhn/Perrier Depeursinge [éd.], Code de procédure pénale suisse, Commentaire romand, 2e éd., Bâle 2019, n. 9 ad art. 390 CPP). Le recours étant de toute manière irrecevable pour les motifs ci-après, il y a cependant lieu de renoncer à inviter le recourant à mettre son mémoire en conformité.</w:t>
      </w:r>
    </w:p>
    <w:p>
      <w:r>
        <w:rPr>
          <w:b/>
        </w:rPr>
        <w:t>E. 1.2.2</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w:t>
      </w:r>
    </w:p>
    <w:p>
      <w:r>
        <w:t>- 4 - Jugendstrafprozessordnung, Art. 196-457 StPO – Art. 1-54 JStPO, 2e éd., Bâle 2014, n. 1a ad art. 385 CP;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(Lieber, in : Donatsch/Hansjakob/Lieber [éd.], Kommentar zur Schweizerischen Strafprozess-ordnung, 2e éd., Zurich/Bâle/Genève 2014, n. 2 ad art. 385 CPP; Pitteloud, op. et loc. cit.). Ainsi, il doit indiquer dans quelle mesure et sous quel angle il entend, notamment, critiquer l’établissement des faits ou l’application du droit (Calame, op. cit.,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w:t>
      </w:r>
    </w:p>
    <w:p>
      <w:r>
        <w:rPr>
          <w:b/>
        </w:rPr>
        <w:t>E. 1.3</w:t>
      </w:r>
    </w:p>
    <w:p>
      <w:r>
        <w:t>En l’espèce, le recourant se borne à indiquer, en substance, qu’il aura un comportement exemplaire en liberté. Il ne développe aucun</w:t>
      </w:r>
    </w:p>
    <w:p>
      <w:r>
        <w:t>- 5 - moyen de fait ou de droit sur lequel il se fonderait pour demander la modification de l’ordonnance en sa faveur. Un tel défaut de motivation ne saurait par ailleurs justifier qu'un délai supplémentaire soit fixé au recourant pour compléter son écriture en application de l'art. 385 al. 2 CPP (cf. les arrêts précités). 2. Il s’ensuit que le recours doit être déclaré irrecevable. Les frais de la procédure de recours, constitués en l’espèce du seul émolument d’arrêt (art. 422 al. 1 CPP), par 550 fr. (art. 20 al. 1 TFIP [Tarif des frais de procédure et indemnités en matière pénale du 28 septembre 2010; BLV 312.03.1]), seront mis à la charge du recourant, qui succombe (art. 428 al. 1 CPP). Par ces motifs, la Chambre des recours pénale prononce : I. Le recours est irrecevable. II. Les frais d’arrêt, par 550 fr. (cinq cent cinquante francs), sont mis à la charge de V.________. III. L’arrêt est exécutoire. Le président : Le greffier : Du Le présent arrêt, dont la rédaction a été approuvée à huis clos, est notifié, par l'envoi d'une copie complète, à : - M. V.________,</w:t>
      </w:r>
    </w:p>
    <w:p>
      <w:r>
        <w:t>- 6 - - Ministère public central, et communiqué à : - Mme la Juge d’application des peines, - M. le Procureur de l’arrondissement de Lausanne, - Office d’exécution des peines, - Prison de La Croisée, par l’envoi de photocopies.</w:t>
      </w:r>
    </w:p>
    <w:p>
      <w:r>
        <w:t>- 7 -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4</w:t>
      </w:r>
    </w:p>
    <w:p>
      <w:r>
        <w:t>août 2020/576).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