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AP20.003849 vom 25. März 2020</w:t>
      </w:r>
    </w:p>
    <w:p>
      <w:r>
        <w:t>VD Tribunal cantonal, 2020-03-25, FR</w:t>
      </w:r>
    </w:p>
    <w:p>
      <w:r>
        <w:rPr>
          <w:b/>
        </w:rPr>
        <w:t xml:space="preserve">Quelle: </w:t>
      </w:r>
      <w:r>
        <w:t>https://mcp.opencaselaw.ch/entscheid/vd_gerichte_AP20.003849</w:t>
      </w:r>
    </w:p>
    <w:p>
      <w:r>
        <w:t>FR: VD_GERICHTE AP20.003849 du 25 mars 2020</w:t>
      </w:r>
    </w:p>
    <w:p>
      <w:r>
        <w:t>IT: VD_GERICHTE AP20.003849 del 25 marzo 2020</w:t>
      </w:r>
    </w:p>
    <w:p>
      <w:pPr>
        <w:pStyle w:val="Heading2"/>
      </w:pPr>
      <w:r>
        <w:t>Erwägungen</w:t>
      </w:r>
    </w:p>
    <w:p>
      <w:r>
        <w:rPr>
          <w:b/>
        </w:rPr>
        <w:t>E. 1</w:t>
      </w:r>
    </w:p>
    <w:p>
      <w:r>
        <w:t>Selon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Aux termes de l'art. 38 al.</w:t>
      </w:r>
    </w:p>
    <w:p>
      <w:r>
        <w:t>- 6 -</w:t>
      </w:r>
    </w:p>
    <w:p>
      <w:r>
        <w:rPr>
          <w:b/>
        </w:rPr>
        <w:t>E. 2</w:t>
      </w:r>
    </w:p>
    <w:p>
      <w:r>
        <w:t>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En l’espèce, interjeté dans le délai légal auprès de l'autorité compétente, par un condamné qui a qualité pour recourir (art. 382 al. 1 CPP), le recours de V.________ est recevable. Les pièces nouvelles le sont également (art. 390 al. 4 i. f. CPP ; Moreillon/Parein-Reymond, Code de procédure pénale, Petit commentaire, 2e éd., Bâle 2016, n. 8 ad art. 385 CPP ; CREP 9 juillet 2012/427 consid. 1b et les réf. citées).</w:t>
      </w:r>
    </w:p>
    <w:p>
      <w:r>
        <w:rPr>
          <w:b/>
        </w:rPr>
        <w:t>E. 2.1</w:t>
      </w:r>
    </w:p>
    <w:p>
      <w:r>
        <w:t>Le recourant se prévaut de nouveaux éléments qui seraient survenus depuis que l’Office d’exécution des peines avait pris sa décision. D’abord, il fait valoir qu’il aurait récupéré son permis de conduire le 11 février 2020 et qu’il aurait trouvé un emploi de serrurier à plein temps qui devait débuter au début du mois de mars 2020. Il relève ensuite qu’il se serait marié le 31 janvier 2020 et qu’il serait devenu le père d’une fille née le 15 février 2020. Il entendrait ainsi désormais être présent au sein de son foyer, tant financièrement que physiquement. Il invoque une réelle prise de conscience et une volonté de ne pas récidiver.</w:t>
      </w:r>
    </w:p>
    <w:p>
      <w:r>
        <w:rPr>
          <w:b/>
        </w:rPr>
        <w:t>E. 2.2</w:t>
      </w:r>
    </w:p>
    <w:p>
      <w:r>
        <w:t>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w:t>
      </w:r>
    </w:p>
    <w:p>
      <w:r>
        <w:t>- 7 -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entré en vigueur le 1er janvier 2018, qui précise les conditions découlant du droit fédéral. Selon l'art. 4 RESE, l'exécution sous forme de surveillance électronique est admissible notamment s'il n'y a pas lieu de craindre que le condamné commette d'autres infractions (let. c) et s'il exerce une activité professionnelle ou suit une formation reconnue avec un taux d'occupation d'au moins vingt heures par semaine, le travail domestique, le travail éducatif, la participation à un programme d'occupation ou toute autre occupation structurée étant réputés équivalents (let. f).</w:t>
      </w:r>
    </w:p>
    <w:p>
      <w:r>
        <w:rPr>
          <w:b/>
        </w:rPr>
        <w:t>E. 2.3</w:t>
      </w:r>
    </w:p>
    <w:p>
      <w:r>
        <w:t>En l’occurrence, il est exact que, selon le contrat de travail produit (P. 5/1), le recourant a été engagé pour une durée indéterminée en qualité d’aide-monteur à 100 %, avec un début d’activité le 2 mars 2020. Si tant est que sa prise d’emploi ait pu être maintenue malgré la crise sanitaire actuelle, la condition prévue par l’art. 4 let. f RESE apparaît ainsi désormais réalisée. Cela étant, il y a lieu de relever qu’avant sa condamnation du 15 mai 2019 à 70 jours de privation de liberté qu’il doit à présent exécuter, le recourant avait déjà fait l’objet de cinq condamnations, à intervalles réguliers, soit en 2010, alors qu’il était encore mineur, en 2013,</w:t>
      </w:r>
    </w:p>
    <w:p>
      <w:r>
        <w:t>- 8 - à deux reprises en 2015 ainsi qu’en 2017. En outre, ces condamnations visaient déjà essentiellement à sanctionner des infractions à la LCR et à la LStup. Aussi, force est de constater que la prise de conscience alléguée par l’intéressé paraît très relative et fort tardive et que le risque de récidive, vu les antécédents, demeure notable et élevé. Le fait que V.________ ait désormais construit une famille n’y change rien. Au vu de ce qui précède, le recourant ne remplit pas la condition prévue par l’art. 4 let. c RESE. L’appréciation de l’Office d’exécution des peines échappe dès lors à la critique et c’est à juste titre qu’il a refusé à V.________ l’exécution de sa peine sous le régime de la surveillance électronique. On relèvera encore que dans sa décision, l’autorité d’exécution a réservé la possibilité pour le condamné d’exécuter sa peine sous le régime de la semi-détention pour autant qu’il exerce une activité professionnelle régulière. Le recourant semblant remplir cette condition, il lui appartient cas échéant de solliciter l’Office d’exécution des peines pour obtenir une telle modalité, qui paraît mieux répondre à sa situation.</w:t>
      </w:r>
    </w:p>
    <w:p>
      <w:r>
        <w:rPr>
          <w:b/>
        </w:rPr>
        <w:t>E. 3</w:t>
      </w:r>
    </w:p>
    <w:p>
      <w:r>
        <w:t>Il résulte de ce qui précède que le recours, manifestement mal fondé, doit être rejeté sans échange d’écritures (art. 390 al. 2 CPP) et la décision contestée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1re phrase, CPP). Par ces motifs, la Chambre des recours pénale prononce :</w:t>
      </w:r>
    </w:p>
    <w:p>
      <w:r>
        <w:t>- 9 - I. Le recours est rejeté. II. La décision du 18 février 2020 est confirmée. III. Les frais d’arrêt, par 880 fr. (huit cent huitante francs), sont mis à la charge de V.________. IV. L’arrêt est exécutoire. Le président : La greffière : Du Le présent arrêt, dont la rédaction a été approuvée à huis clos, est notifié, par l'envoi d'une copie complète, à : - M. V.________, - Ministère public central, et communiqué à : - Office d’exécution des peines, - Fondation vaudoise de probation,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