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AP19.022520 vom 11. Dezember 2019</w:t>
      </w:r>
    </w:p>
    <w:p>
      <w:r>
        <w:t>VD Tribunal cantonal, 2019-12-11, FR</w:t>
      </w:r>
    </w:p>
    <w:p>
      <w:r>
        <w:rPr>
          <w:b/>
        </w:rPr>
        <w:t xml:space="preserve">Quelle: </w:t>
      </w:r>
      <w:r>
        <w:t>https://mcp.opencaselaw.ch/entscheid/vd_gerichte_AP19.022520</w:t>
      </w:r>
    </w:p>
    <w:p>
      <w:r>
        <w:t>FR: VD_GERICHTE AP19.022520 du 11 décembre 2019</w:t>
      </w:r>
    </w:p>
    <w:p>
      <w:r>
        <w:t>IT: VD_GERICHTE AP19.022520 del 11 dicembre 2019</w:t>
      </w:r>
    </w:p>
    <w:p>
      <w:pPr>
        <w:pStyle w:val="Heading2"/>
      </w:pPr>
      <w:r>
        <w:t>Erwägungen</w:t>
      </w:r>
    </w:p>
    <w:p>
      <w:r>
        <w:rPr>
          <w:b/>
        </w:rPr>
        <w:t>E. 1.1</w:t>
      </w:r>
    </w:p>
    <w:p>
      <w:r>
        <w:t>La loi fédérale sur la procédure pénale applicable aux mineurs (PPMin ; RS 312.1) régit la poursuite et le jugement des infractions prévues par le droit fédéral commises par des mineurs au sens de l’art. 3 al. 1 de la loi fédérale régissant la condition pénale des mineurs (Droit pénal des mineurs, DPMin ; RS 311.1), ainsi que l’exécution des sanctions prononcées à l’encontre de ceux-ci (art. 1 PPMin). Sauf dispositions particulières de la PPMin, le Code de procédure pénale suisse du 5 octobre 2007 (CPP ; RS 312.0) est applicable (art. 3 al. 1 et 2 PPMin).</w:t>
      </w:r>
    </w:p>
    <w:p>
      <w:r>
        <w:t>- 5 - Selon l’art. 42 PPMin, l'exécution des peines et des mesures de protection relève de l’autorité d’instruction, qui, dans le canton de Vaud, est le juge des mineurs (art. 3 al. 1 let. b et 39 LVPPMin [Loi vaudoise d'introduction de la loi fédérale sur la procédure pénale applicable aux mineurs ; BLV 312.05]).</w:t>
      </w:r>
    </w:p>
    <w:p>
      <w:r>
        <w:rPr>
          <w:b/>
        </w:rPr>
        <w:t>E. 1.2</w:t>
      </w:r>
    </w:p>
    <w:p>
      <w:r>
        <w:t>L'objet et les motifs du recours sont régis par l’art. 393 CPP (art. 39 al. 1 PPMin). En matière d'exécution de peines, le recours est recevable contre (a) la modification d'une mesure, (b) le transfert dans un autre établissement, (c) le refus ou la révocation de la libération conditionnelle, (d) la fin de la mesure (art. 43 PPMin). Ainsi, les décisions du Président du Tribunal des mineurs refusant la libération conditionnelle peuvent être attaquées par la voie du recours à l’autorité de recours des mineurs (cf. art. 7 al. 1 let. c PPMin), qui, dans le canton de Vaud, est la Chambre des recours pénale du Tribunal cantonal (art. 39 al. 3 PPMin et 18 LVPPMin). L'art. 18 al. 2 LVPPMin dispose toutefois qu'un juge de la Chambre des recours pénale est compétent pour statuer sur les recours en tant que juge unique dans les cas prévus à l'art. 395 CPP, ainsi qu'en matière d'exécution des peines et des mesures, y compris en matière de sanction disciplinaire (Juge unique CREP 23 juin 2017/399 consid. 1 ; Juge unique CREP 31 octobre 2013/640 consid. 1).</w:t>
      </w:r>
    </w:p>
    <w:p>
      <w:r>
        <w:rPr>
          <w:b/>
        </w:rPr>
        <w:t>E. 1.3</w:t>
      </w:r>
    </w:p>
    <w:p>
      <w:r>
        <w:t>En l'espèce, le recours relève donc de la compétence d’un juge de la Chambre des recours pénale. Satisfaisant aux prescriptions de forme de l'art. 385 al. 1 CPP et déposé dans le délai légal de dix jours (art. 396 al. 1 CPP), il est recevable.</w:t>
      </w:r>
    </w:p>
    <w:p>
      <w:r>
        <w:rPr>
          <w:b/>
        </w:rPr>
        <w:t>E. 2.1</w:t>
      </w:r>
    </w:p>
    <w:p>
      <w:r>
        <w:t>Le recourant relève que les préavis de l’EDM et de la FVP sont favorables à l’octroi de la libération conditionnelle, qu’il n’a été condamné</w:t>
      </w:r>
    </w:p>
    <w:p>
      <w:r>
        <w:t>- 6 - qu’à une peine de privation de liberté légère en lien avec une série de vols commis durant un mois il y a plus de deux ans et qu’il s’était fait influencé et embarqué dans cette aventure par de mauvaises fréquentations qui étaient majeurs. Le recourant ajoute qu’il a multiplié les regrets et les excuses, qu’il n’a pas récidivé depuis plus de deux ans et qu’il n’aspire plus qu’à rentrer en Roumanie par le premier bus pour subvenir aux besoins de sa famille. Le recourant reproche en outre à l’autorité précédente d’avoir considéré que ses déclarations et sa prise de conscience étaient sujettes à caution ou devaient être appréciées avec prudence.</w:t>
      </w:r>
    </w:p>
    <w:p>
      <w:r>
        <w:rPr>
          <w:b/>
        </w:rPr>
        <w:t>E. 2.2</w:t>
      </w:r>
    </w:p>
    <w:p>
      <w:r>
        <w:t>Aux termes de l'art. 28 DPMin, l'autorité d'exécution peut libérer conditionnellement le mineur qui a subi la moitié de la privation de liberté, mais au moins deux semaines, s'il n'y a pas lieu de craindre qu'il commette d'autres crimes ou délits (al. 1). L'autorité d'exécution examine d'office si le mineur peut être libéré conditionnellement ; elle demande un rapport à la direction de l'établissement et à la personne chargée d'accompagner le mineur ; si elle a l'intention de refuser la libération conditionnelle, le mineur doit être entendu (al. 2). Le principe de la prévention spéciale étant au cœur du droit pénal des mineurs, l’autorité d’exécution doit s’inspirer des principes dégagés dans le domaine des adultes. Il apparaîtrait en outre choquant de traiter plus durement les mineurs en matière de libération conditionnelle. Par conséquent, la libération conditionnelle des mineurs condamnés ne devrait être refusée que dans des situations particulières, en considération des principes d’éducation et de protection (Geiger/Redondo/Tirelli, Petit commentaire DPMin, Bâle 2019, n. 22 ad art. 28 DPMin). Pour le reste, la règlementation est reprise du droit pénal des adultes et l’autorité doit donc pouvoir s’inspirer des principes dégagés par la jurisprudence rendue en la matière (Geiger/Redondo/Tirelli, op. cit., n. 23 ad art. 28 DPMin). Le pronostic à émettre doit être posé sur la base d'une appréciation globale, prenant en considération les antécédents de l'intéressé, sa personnalité, son comportement en général et dans le cadre</w:t>
      </w:r>
    </w:p>
    <w:p>
      <w:r>
        <w:t>- 7 - des délits qui sont à l'origine de sa condamnation, le degré de son éventuel amendement ainsi que les conditions dans lesquelles il est à prévoir qu'il vivra (TF 6B_666/2016 du 8 juillet 2016 consid. 3.1 ; ATF 133 IV 201 consid. 2.3 et les arrêts cités).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(TF 6B_666/2016 du 8 juillet 2016 consid. 3.1 ; ATF 125 IV 113 consid. 2a).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w:t>
      </w:r>
    </w:p>
    <w:p>
      <w:r>
        <w:t>- 8 -</w:t>
      </w:r>
    </w:p>
    <w:p>
      <w:r>
        <w:rPr>
          <w:b/>
        </w:rPr>
        <w:t>E. 2.3</w:t>
      </w:r>
    </w:p>
    <w:p>
      <w:r>
        <w:t>En l’occurrence, il est vrai que, comme l’a relevé la Présidente du Tribunal des mineurs, le condamné semble s’être contredit dans le cadre de ses déclarations, que celles-ci doivent donc être appréciées avec prudence, qu’il n’a pas de formation ni vraiment été à l’école et que ses projets professionnels ne reposent sur aucun élément objectif. Il est également vrai que les projets de vie futurs, outre l’aspect professionnel, soit qu’il souhaite retourner en Roumanie pour retrouver sa femme et sa progéniture, ne reposent que sur ses propres déclarations. Cependant, malgré les craintes de l’autorité précédente, tant les intervenants de l’EDM que de la FVP, qui ont suivi W.________ depuis le début de son incarcération, ont, de manière générale, fait état d’avis favorables concernant le recourant et ont préavisé en faveur de la libération conditionnelle de ce dernier, sous réserve toutefois, pour l’EDM, que l’octroi de la libération conditionnelle puisse être effectif au jour où l’intéressé pourra quitter le territoire suisse ou être expulsé. En particulier, ils ont indiqué que le comportement du condamné en détention était bon, qu’il avait une attitude positive, qu’il n’avait posé aucun problème d’ordre disciplinaire, qu’il leur paraissait sincère et qu’il donnait l’impression d’assumer ses actes. De plus, il ne ressort pas du dossier qu’W.________ aurait récidivé en Suisse entre sa libération de la détention préventive, peu après la commission, en 2017, des faits pour lesquels il a été condamné. Au regard des éléments qui précèdent, on relève, à ce stade déjà, qu’il est difficile d’affirmer que la prise de conscience du condamné apparaît toute relative et que celui-ci présente un risque de récidive concret en cas de sortie de prison. Partant, le pronostic quant au comportement futur de l’intéressé apparaît mitigé. Cela étant, si l’autorité de première instance a certes considéré que la poursuite de l’exécution de sa peine par l’intéressé lui permettrait d’utiliser le temps restant pour travailler sur l’intégration des règles et sur la mise en place d’un réel projet de sortie, on relève que le solde de peine est en l’espèce très faible. Ainsi, il est peu probable que l’exécution de ce solde de peine puisse réellement avoir un impact sur W.________ permettant de favoriser sa resocialisation. En outre, l’EDM</w:t>
      </w:r>
    </w:p>
    <w:p>
      <w:r>
        <w:t>- 9 - explique que le prénommé est sans titre de séjour valable en Suisse, alors que l’intéressé fait pour sa part valoir qu’il est un citoyen européen. Cependant, W.________ n’étaye nullement le fait qu’il serait admis à demeurer sur le territoire suisse. Quoi qu’il en soit, cela n’est pas déterminant, dès lors que le prénommé affirme sans cesse qu’il n’a qu’une envie de retourner en Roumanie. En définitive, au regard de l’ensemble des éléments qui précèdent, l’autorité de céans, se basant sur une appréciation globale, estime, d’une part, que la dangerosité du recourant ne diminuera pas en cas d’exécution complète de sa peine et, d’autre part, qu’une libération conditionnelle au jour où son départ de Suisse pourra concrètement être mis en œuvre permettra de réduire le risque de récidive. Partant, la libération conditionnelle est préférable à l’exécution complète de la fin de la peine et doit être accordée à W.________ à la condition qu’il quitte la Suisse. Le délai d’épreuve doit être fixé à six mois dès la libération effective du recourant (art. 29 al. 1 DPMin).</w:t>
      </w:r>
    </w:p>
    <w:p>
      <w:r>
        <w:rPr>
          <w:b/>
        </w:rPr>
        <w:t>E. 3</w:t>
      </w:r>
    </w:p>
    <w:p>
      <w:r>
        <w:t>En conclusion, le recours interjeté par W.________ doit être admis et l’ordonnance attaquée réformée dans le sens des considérants qui précèdent. Les frais de la procédure de recours, constitués en l’espèce de l’émolument d'arrêt, par 810 fr. (art. 20 al. 1 TFIP [Tarif des frais de procédure et indemnités en matière pénale du 28 septembre 2010 ; BLV 312.03.1]), et des frais imputables à la défense d’office (art. 422 al. 1 et 2 let. a CPP), fixés à 395 fr. 45, débours et TVA inclus, sont laissés à la charge de l’Etat (art. 423 al. 1 CPP).</w:t>
      </w:r>
    </w:p>
    <w:p>
      <w:r>
        <w:t>- 10 - Par ces motifs, le juge unique prononce : I. Le recours est admis. II. L’ordonnance du 11 novembre 2019 est réformée comme il suit au chiffre I de son dispositif : « I. Accorde la libération conditionnelle à W.________, né le [...], étant précisé qu’elle deviendra effective dès le moment où son départ de Suisse pourra concrètement être mis en œuvre ; Ibis. imparti un délai d’épreuve d’une durée de six mois dès sa libération effective ; » L’ordonnance est confirmée pour le surplus. III. L’indemnité allouée au défenseur d’office d’W.________ est fixée à 395 fr. 45 (trois cent nonante-cinq francs et quarante- cinq centimes). IV. Les frais d'arrêt, par 810 fr. (huit cent dix francs), ainsi que l'indemnité due au défenseur d'office, par 395 fr. 45 (trois cent nonante-cinq francs et quarante-cinq centimes), sont laissés à la charge de l’Etat. V. L’arrêt est exécutoire. Le juge unique : Le greffier : Du Le présent arrêt, dont la rédaction a été approuvée à huis clos, est notifié, par l'envoi d'une copie complète, à : - Me Jean-Nicolas Roud, avocat (pour W.________), - Ministère public central,</w:t>
      </w:r>
    </w:p>
    <w:p>
      <w:r>
        <w:t>- 11 - et communiqué à : - Mme la Présidente du Tribunal des mineurs, - Etablissements de détention pour mineurs [...], - Fondation vaudoise de probation,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