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AP19.017874 vom 18. November 2019</w:t>
      </w:r>
    </w:p>
    <w:p>
      <w:r>
        <w:t>VD Tribunal cantonal, 2019-11-18, FR</w:t>
      </w:r>
    </w:p>
    <w:p>
      <w:r>
        <w:rPr>
          <w:b/>
        </w:rPr>
        <w:t xml:space="preserve">Quelle: </w:t>
      </w:r>
      <w:r>
        <w:t>https://mcp.opencaselaw.ch/entscheid/vd_gerichte_AP19.017874</w:t>
      </w:r>
    </w:p>
    <w:p>
      <w:r>
        <w:t>FR: VD_GERICHTE AP19.017874 du 18 novembre 2019</w:t>
      </w:r>
    </w:p>
    <w:p>
      <w:r>
        <w:t>IT: VD_GERICHTE AP19.017874 del 18 novembre 2019</w:t>
      </w:r>
    </w:p>
    <w:p>
      <w:pPr>
        <w:pStyle w:val="Heading2"/>
      </w:pPr>
      <w:r>
        <w:t>Erwägungen</w:t>
      </w:r>
    </w:p>
    <w:p>
      <w:r>
        <w:rPr>
          <w:b/>
        </w:rPr>
        <w:t>E. 1.1</w:t>
      </w:r>
    </w:p>
    <w:p>
      <w:r>
        <w:t>L’art. 26 al. 1 let. a LEP (Loi sur l’exécution des condamnations pénales du 4 juillet 2006 ;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- 7 -</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Le recourant faire valoir premièrement que le Juge d’application des peines aurait omis de procéder à un pronostic différentiel, l’exécution du solde de sa peine n’étant pas susceptible de diminuer le risque qu’il récidive et sa dangerosité. Deuxièmement, le recourant fait valoir que ses antécédents pénaux auraient été appréciés avec trop de sévérité. Le Juge d’application des peines n’aurait pas suffisamment tenu compte de son amendement et de sa volonté de régulariser sa situation. Le recourant fait en dernier lieu valoir que les infractions inscrites à son casier judiciaire seraient très largement liées à la précarité de sa situation et au fait qu’il n’avait pas de statut de séjour en Suisse. Une régularisation permettrait de formuler un pronostic favorable, de sorte qu’à titre subsidiaire, sa libération pourrait être ordonnée à compter de la délivrance d’une décision lui permettant de séjourner légalement en Suisse.</w:t>
      </w:r>
    </w:p>
    <w:p>
      <w:r>
        <w:rPr>
          <w:b/>
        </w:rPr>
        <w:t>E. 2.2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w:t>
      </w:r>
    </w:p>
    <w:p>
      <w:r>
        <w:t>- 8 - prévoir qu'il vivra (ATF 133 IV 201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6B_353/2019 précité consid. 1.2.1 ; TF 6B_103/2019 précité consid. 2.1). Afin de procéder à un pronostic différentiel, il sied de comparer les avantages et désavantages de l'exécution de la peine avec la libération conditionnelle (ATF 124 IV 193 consid. 4a et 5b/bb, JdT 2000 IV 162 ; TF 6B_32/2019 du 28 février 2019 consid. 2.2). Dans l'émission du pronostic, l'autorité compétente dispose d'un large pouvoir d'appréciation (ATF 134 IV 140 consid. 4.2 ; ATF 133 IV 201 consid. 2.3 ; TF 6B_353/2019 précité consid. 1.2.1).</w:t>
      </w:r>
    </w:p>
    <w:p>
      <w:r>
        <w:rPr>
          <w:b/>
        </w:rPr>
        <w:t>E. 2.3</w:t>
      </w:r>
    </w:p>
    <w:p>
      <w:r>
        <w:t>Z.________ a atteint les deux tiers de sa peine le 5 novembre 2019, de sorte que la première des trois conditions cumulatives posées par l'art. 86 al. 1 CP est remplie. S’agissant du comportement du condamné en exécution de peine, le Juge d’application des peines s’est référé au rapport établi par la Prison de la Croisée le 18 juillet 2019 et a considéré que le comportement en détention de Z.________ était toujours globalement satisfaisant, de sorte que la seconde condition posée par l'art. 86 al. 1 CP était également réalisée. Est ainsi seule litigieuse la question du pronostic quant au comportement futur du recourant.</w:t>
      </w:r>
    </w:p>
    <w:p>
      <w:r>
        <w:t>- 9 -</w:t>
      </w:r>
    </w:p>
    <w:p>
      <w:r>
        <w:rPr>
          <w:b/>
        </w:rPr>
        <w:t>E. 2.4</w:t>
      </w:r>
    </w:p>
    <w:p>
      <w:r>
        <w:t>En l’occurrence, le Juge d’application des peines a refusé la libération conditionnelle au motif que le pronostic qu'il convenait d'émettre quant au comportement futur en liberté de Z.________ ne pouvait être que défavorable. Il a constaté qu’il occupait défavorablement, avec la régularité d'un métronome, les autorités de police et la justice de ce canton depuis dix ans et que son casier judiciaire comportait dix-neuf condamnations. Il invoquait des problèmes de santé qui justifiaient selon lui qu'il puisse demeurer en Suisse, mais occultait le fait qu'il y était interdit de séjour depuis dix ans et qu’il n’avait jamais rien entrepris pour quitter le pays alors que sa santé le lui permettait. Ses délits ne se résumaient en outre pas au séjour illégal, puisqu'il n'avait eu de cesse de commettre des vols. Quant à ses regrets, ils devaient être relativisés, puisqu'il attribuait ses vols à sa toxicomanie et que lors de son précédent examen de la libération conditionnelle, il les avait attribués à la précarité de sa situation. Son introspection et son amendement demeuraient par conséquent insuffisants, tout comme ses projets de vivre en Belgique ou en Italie, qui étaient incompatibles avec le fait qu'il ne disposait d'aucun papier pour s’y rendre. Quant à l’aide d’urgence offerte aux migrants en situation irrégulière, qu’il aurait pu de longue date solliciter, il paraissait douteux qu’il sache s’en satisfaire et renonce à s'en prendre au patrimoine d'autrui, ce qu'il avait fait sans discontinuer depuis dix ans. Cette appréciation ne prête pas le flanc à la critique et ne peut qu’être confirmée tant il est manifeste que la libération conditionnelle du recourant laisse présager une récidive rapide, faute de volonté, même minime, de sa part de prendre en mains un changement de trajectoire. Le recourant persiste à ne pas vouloir collaborer à son renvoi. Son projet de vivre en Belgique ou en Italie est irréaliste puisqu’il ne bénéficie d’aucune autorisation de séjour en Europe. Il ne présente aucun élément concret s’agissant de sa volonté de régulariser sa situation. Quant à l’état de santé dont il se prévaut, il ne l’empêche nullement de mettre sur pied ne serait- ce qu’un début d’activité sous quelle que forme que ce soit. Dans ces circonstances, on ne voit pas en quoi l’importance de ses dix-neuf condamnations devrait être relativisée, ses antécédents ne l’ayant jamais dissuadé de récidiver. Il convient également de rappeler qu’en mai 2017,</w:t>
      </w:r>
    </w:p>
    <w:p>
      <w:r>
        <w:t>- 10 - le Juge d’application des peines avait déjà refusé de lui accorder la libération conditionnelle de l’exécution de précédentes peines au motif notamment qu’il n’avait aucun projet. Or, deux ans plus tard, le recourant n’a toujours aucune perspective. On ne peut qu’espérer qu’il mette à profit les sept mois qu’il lui reste à exécuter pour élaborer des projets d'avenir réalistes et conformes à sa situation administrative.</w:t>
      </w:r>
    </w:p>
    <w:p>
      <w:r>
        <w:rPr>
          <w:b/>
        </w:rPr>
        <w:t>E. 3</w:t>
      </w:r>
    </w:p>
    <w:p>
      <w:r>
        <w:t>Au vu de ce qui précède, le recours, manifestement mal fondé, doit être rejeté sans échange d'écritures (art. 390 al. 2 CPP) et l'ordonnance du 31 octobre 2019 confirmée.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(art. 3bis al. 1 RAJ [Règlement du 7 décembre 2010 sur l'assistance judiciaire en matière civile ; BLV 211.02.3], applicable par renvoi de l’art. 26b TFIP), par 7 fr. 20, plus la TVA, par 28 fr. 25, soit à 395 fr. 45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31 octobre 2019 est confirmée.</w:t>
      </w:r>
    </w:p>
    <w:p>
      <w:r>
        <w:t>- 11 - III. L’indemnité allouée au défenseur d’office de Z.________ est fixée à 395 fr. 45 (trois cent nonante-cinq francs et quarante- cinq centimes). IV. Les frais de la procédure de recours, par 1’100 fr. (mille cent francs), ainsi que l’indemnité due au défenseur d’office de Z.________, par 395 fr. 45 (trois cent nonante-cinq francs et quarante-cinq centimes), sont mis à la charge de ce dernier. V. Le remboursement à l'Etat de l'indemnité allouée au chiffre III ci-dessus sera exigible pour autant que la situation financière de Z.________ le permette. VI. L’arrêt est exécutoire. Le président : La greffière : Du Le présent arrêt, dont la rédaction a été approuvée à huis clos, est notifié, par l'envoi d'une copie complète, à : - Me Arnaud Thièry, avocat (pour Z.________), - Ministère public central, et communiqué à : - M. le Juge d'application des peines, - Mme la Procureure cantonale Strada, - Office d'exécution des peines (réf. : OEP/PPL/81103/VRI/BD), - Direction de la Prison de la Croisée,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- 13 -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