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AP19.014396 vom 10. September 2019</w:t>
      </w:r>
    </w:p>
    <w:p>
      <w:r>
        <w:t>VD Tribunal cantonal, 2019-09-10, FR</w:t>
      </w:r>
    </w:p>
    <w:p>
      <w:r>
        <w:rPr>
          <w:b/>
        </w:rPr>
        <w:t xml:space="preserve">Quelle: </w:t>
      </w:r>
      <w:r>
        <w:t>https://mcp.opencaselaw.ch/entscheid/vd_gerichte_AP19.014396</w:t>
      </w:r>
    </w:p>
    <w:p>
      <w:r>
        <w:t>FR: VD_GERICHTE AP19.014396 du 10 septembre 2019</w:t>
      </w:r>
    </w:p>
    <w:p>
      <w:r>
        <w:t>IT: VD_GERICHTE AP19.014396 del 10 settembre 2019</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w:t>
      </w:r>
    </w:p>
    <w:p>
      <w:r>
        <w:t>- 6 -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conteste le refus de la libération conditionnelle. Il remet en cause le pronostic très défavorable émis par la Juge d’application des peines et considère au contraire le risque de récidive comme extrêmement faible. Il allègue être prêt à quitter volontairement la Suisse et retourner en [...]. En outre, il estime que dans l'ensemble et malgré quelques sanctions subies, son comportement en prison durant l'exécution de sa peine a été correct.</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w:t>
      </w:r>
    </w:p>
    <w:p>
      <w:r>
        <w:t>- 7 -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En ce qui concerne la deuxième condition, soit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 TF 6A.71/2004 du 29 novembre 2004 consid. 2.2). Selon la jurisprudence du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w:t>
      </w:r>
    </w:p>
    <w:p>
      <w:r>
        <w:t>- 8 - conditionnelle, ils doivent être pris en considération dans l'établissement du pronostic (ATF 119 IV 5 consid. 1a/bb ; CREP 13 mai 2015/327 ; CREP 28 janvier 2015/66). S’agissant de la troisième condition,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 outre, le Tribunal fédéral retient qu’il n’est pas juste de conclure à un pronostic défavorable parce que l’intéressé continue à nier ses infractions passées ; en effet,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w:t>
      </w:r>
    </w:p>
    <w:p>
      <w:r>
        <w:t>- 9 - existence future sans infractions (ATF 124 IV 193 consid. 5ee, JdT 2000 IV 162).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w:t>
      </w:r>
    </w:p>
    <w:p>
      <w:r>
        <w:rPr>
          <w:b/>
        </w:rPr>
        <w:t>E. 2.3.1</w:t>
      </w:r>
    </w:p>
    <w:p>
      <w:r>
        <w:t>En l’espèce, le recourant exécute la peine privative de liberté prononcée à son encontre depuis le 7 novembre 2018 et a purgé les deux tiers de sa peine le 2 juin 2019, de sorte que la première condition posée à l’art. 86 al. 1 CP est réalisée.</w:t>
      </w:r>
    </w:p>
    <w:p>
      <w:r>
        <w:t>- 10 -</w:t>
      </w:r>
    </w:p>
    <w:p>
      <w:r>
        <w:rPr>
          <w:b/>
        </w:rPr>
        <w:t>E. 2.3.2</w:t>
      </w:r>
    </w:p>
    <w:p>
      <w:r>
        <w:t>Il convient dès lors d’examiner si le comportement adopté par le condamné depuis le début de l’exécution de sa peine ne s’oppose pas à son élargissement anticipé. Force est de constater que le comportement de C.________ en détention est mauvais. En effet, plusieurs sanctions disciplinaires ont été infligées à l'intéressé durant sa détention au sein de la Prison du Bois-Mermet, pour s'être montré virulent et avoir tenu à plusieurs reprises des propos insultants et menaçants envers des agents de détention, pour avoir refusé d'obtempérer aux injonctions du personnel lui demandant de se calmer, ainsi que pour avoir parlé depuis sa cellule à deux codétenus se trouvant à la promenade, puis avoir lancé un citron dans leur direction. De plus, depuis son transfert à la Prison de la Tuilière le 10 juillet 2019, C.________ a été sanctionné pour inobservation des règlements et directives. Le 16 juillet 2019, il s'est énervé et montré agressif vis-à-vis d'un agent de détention, puis a pris une lame de rasoir et a menacé de se couper les veines avant de la poser, de hurler par la fenêtre et de frapper contre la porte et le grillage. L'attitude du condamné démontre qu'il reste agressif, qu'il peine à respecter les règles et à gérer ses émotions. Ainsi, le comportement inacceptable du recourant durant l’exécution de sa peine fait déjà obstacle à sa libération conditionnelle (cf. CREP 13 mai 2015/327 consid. 2.2 ; CREP 23 décembre 2016/878 consid. 2.3.2 ; CREP 11 janvier 2017/19 consid. 2.3.2). Dès lors, pour ce motif, celle-ci doit être refusée.</w:t>
      </w:r>
    </w:p>
    <w:p>
      <w:r>
        <w:rPr>
          <w:b/>
        </w:rPr>
        <w:t>E. 2.3.3</w:t>
      </w:r>
    </w:p>
    <w:p>
      <w:r>
        <w:t>Par surabondance, on relèvera que le pronostic quant au comportement futur du condamné en cas de libération conditionnelle est manifestement défavorable. A l'instar de la Juge d’application des peines, il est constaté que C.________ a récidivé pour des faits similaires, en dépit de ses nombreux antécédents. De plus, les propos de l'intéressé lors de l'audience du 31 juillet 2019 font la démonstration d'un individu qui se sent victime plutôt que malfaiteur et qui ne se remet pas en question, alors que ses antécédents devraient au contraire lui imposer de démontrer de manière convaincante cette prise de conscience qu'il allègue, ce qui</w:t>
      </w:r>
    </w:p>
    <w:p>
      <w:r>
        <w:t>- 11 - n'est pas le cas. En outre, son absence d’amendement est malheureusement confirmée par son comportement en détention. Par ailleurs, s'agissant de son retour en [...],C.________ ne conclut qu'à l'obtention de la libération conditionnelle, sans la conditionner à un renvoi dans son pays d'origine. Compte tenu de ces circonstances, la libération conditionnelle doit être refusée à C.________.</w:t>
      </w:r>
    </w:p>
    <w:p>
      <w:r>
        <w:rPr>
          <w:b/>
        </w:rPr>
        <w:t>E. 3</w:t>
      </w:r>
    </w:p>
    <w:p>
      <w:r>
        <w:t>Il résulte de ce qui précède que le recours, manifestement mal fondé, doit être rejeté sans échange d’écritures (art. 390 al. 2 CPP) et l’ordonnance du 15 août 2019 confirmée. Les frais de la procédure de recours, constitués en l'espèce de l'émolument d'arrêt (art. 422 al. 1 CPP), par 1'210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par 7 fr. 20 (art. 3bis al. 1 RAJ [Règlement du 7 décembre 2010 sur l'assistance judiciaire en matière civile ; BLV 211.02.3], applicable par renvoi de l’art. 26b TFIP), ainsi que la TVA, par 28 fr. 25, soit à 395 fr. 45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w:t>
      </w:r>
    </w:p>
    <w:p>
      <w:r>
        <w:t>- 12 - I. Le recours est rejeté. II. L’ordonnance du 15 août 2019 est confirmée. III. L’indemnité allouée au défenseur d’office de C.________ est fixée à 395 fr. 45 (trois cent nonante-cinq francs et quarante- cinq centimes). IV. Les frais de la procédure de recours, par 1'210 fr. (mille deux cent dix francs), ainsi que l’indemnité due au défenseur d’office de C.________, par 395 fr. 45 (trois cent nonante-cinq francs et quarante-cinq centimes), sont mis à la charge de ce dernier. V. Le remboursement à l'Etat de l'indemnité allouée au chiffre III ci-dessus sera exigible pour autant que la situation financière de C.________ le permette. VI. L’arrêt est exécutoire. Le président : Le greffier : Du Le présent arrêt, dont la rédaction a été approuvée à huis clos, est notifié, par l'envoi d'une copie complète, à : - Me Samir Djaziri, avocat (pour C.________), - Ministère public central,</w:t>
      </w:r>
    </w:p>
    <w:p>
      <w:r>
        <w:t>- 13 - et communiqué à : - Mme la Juge d'application des peines, - M. le Procureur de l'arrondissement du Nord vaudois, - Office d'exécution des peines (réf. : OEP/PPL/153248/VRI/MR) - Direction de la prison de la Tuilière, - Cour d'appel pénale du Tribunal cantonal de Fribourg (réf.: 501 2018 146),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