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AP19.013592 vom 23. März 2022</w:t>
      </w:r>
    </w:p>
    <w:p>
      <w:r>
        <w:t>VD Tribunal cantonal, 2022-03-23, FR</w:t>
      </w:r>
    </w:p>
    <w:p>
      <w:r>
        <w:rPr>
          <w:b/>
        </w:rPr>
        <w:t xml:space="preserve">Quelle: </w:t>
      </w:r>
      <w:r>
        <w:t>https://mcp.opencaselaw.ch/entscheid/vd_gerichte_AP19.013592</w:t>
      </w:r>
    </w:p>
    <w:p>
      <w:r>
        <w:t>FR: VD_GERICHTE AP19.013592 du 23 mars 2022</w:t>
      </w:r>
    </w:p>
    <w:p>
      <w:r>
        <w:t>IT: VD_GERICHTE AP19.013592 del 23 marzo 2022</w:t>
      </w:r>
    </w:p>
    <w:p>
      <w:pPr>
        <w:pStyle w:val="Heading2"/>
      </w:pPr>
      <w:r>
        <w:t>Erwägungen</w:t>
      </w:r>
    </w:p>
    <w:p>
      <w:r>
        <w:rPr>
          <w:b/>
        </w:rPr>
        <w:t>E. 1.1</w:t>
      </w:r>
    </w:p>
    <w:p>
      <w:r>
        <w:t>En vertu de l’art. 38 al. 1 LEP (loi vaudoise sur l'exécution des condamnations pénales du 4 juillet 2006 ; BLV 340.01),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(cf. art. 384 let. b CPP), à l’autorité de recours (art. 396 al. 1 CPP) qui est, dans</w:t>
      </w:r>
    </w:p>
    <w:p>
      <w:r>
        <w:t>- 7 - le canton de Vaud, la Chambre des recours pénale du Tribunal cantonal (art. 13 LVCPP [loi vaudoise d’introduction du Code de procédure pénale suisse du 19 mai 2009 ; BLV 312.01] et art. 80 LOJV [loi vaudoise d’organisation judiciaire du 12 décembre 1979 ; BLV 173.01]).</w:t>
      </w:r>
    </w:p>
    <w:p>
      <w:r>
        <w:rPr>
          <w:b/>
        </w:rPr>
        <w:t>E. 1.2</w:t>
      </w:r>
    </w:p>
    <w:p>
      <w:r>
        <w:t>En l’espèce, le recours a été interjeté en temps utile par le condamné qui a qualité pour recourir au sens de l’art. 382 al. 1 CPP. Il est donc recevable, sous la réserve de ce qui sera exposé au considérant 2 ci- dessous.</w:t>
      </w:r>
    </w:p>
    <w:p>
      <w:r>
        <w:rPr>
          <w:b/>
        </w:rPr>
        <w:t>E. 2</w:t>
      </w:r>
    </w:p>
    <w:p>
      <w:r>
        <w:t>Le recourant conteste l’appréciation du premier juge selon laquelle il ne serait pas compétent pour entrer en matière sur ses griefs tendant à faire constater l’illicéité de ses conditions de détention.</w:t>
      </w:r>
    </w:p>
    <w:p>
      <w:r>
        <w:rPr>
          <w:b/>
        </w:rPr>
        <w:t>E. 2.1.1</w:t>
      </w:r>
    </w:p>
    <w:p>
      <w:r>
        <w:t>Aux termes de l'art. 29 al. 1 Cst., toute personne a droit, dans une procédure judiciaire ou administrative, à ce que sa cause soit traitée équitablement et jugée dans un délai raisonnable. A l'instar de l'art. 10 al. 3 Cst., l'art. 3 CEDH interdit de soumettre une personne à la torture ou à des peines ou traitements inhumains ou dégradants. Aux termes de l'art. 5 par. 1 CEDH, toute personne a droit à la liberté et à la sûreté. Nul ne peut être privé de sa liberté, sauf dans les cas suivants et selon les voies légales, à savoir, notamment s'il est détenu régulièrement après condamnation par un tribunal compétent (let. a) ou s'il s'agit de la détention régulière d'une personne susceptible de propager une maladie contagieuse, d'un aliéné, d'un alcoolique, d'un toxicomane ou d'un vagabond (let. e). Pour respecter l'art. 5 par. 1 CEDH, la détention doit avoir lieu « selon les voies légales » et « être régulière ». En la matière, la CEDH renvoie pour l'essentiel à la législation nationale et consacre l'obligation</w:t>
      </w:r>
    </w:p>
    <w:p>
      <w:r>
        <w:t>- 8 - d'en respecter les normes de fond comme de procédure, mais elle exige de surcroît la conformité de toute privation de liberté au but de l'article 5 : protéger l'individu contre l'arbitraire (TF 6B_362/2019 du 21 mai 2019 consid. 4.1 et les arrêts cités). Conformément à l'art. 13 CEDH, toute personne dont les droits et libertés reconnus dans cette convention ont été violés, a droit à l'octroi d'un recours effectif devant une instance nationale, alors même que la violation aurait été commise par des personnes agissant dans l'exercice de leurs fonctions officielles.</w:t>
      </w:r>
    </w:p>
    <w:p>
      <w:r>
        <w:rPr>
          <w:b/>
        </w:rPr>
        <w:t>E. 2.1.2</w:t>
      </w:r>
    </w:p>
    <w:p>
      <w:r>
        <w:t>Le Juge d’application des peines est le garant de la légalité de l’exécution des condamnations pénales (art. 11 al. 3 LEP). Dans un arrêt du 12 août 2021 (n° 735) – auquel le recourant lui-même se réfère dans son écriture – la Chambre de céans a eu l’occasion de préciser ce qui suit : « L’art. 11 al. 3 LEP ne peut (…) pas être compris comme ouvrant une voie générale d’action, parallèlement aux autres voies de droit (notamment de recours) prévues par la LEP ou par les règlements fondés sur elle. Le Juge d’application des peines ne peut être saisi sur la base de l’art. 11 al. 3 LEP que s’il n’existe pas d’autre voie pour faire contrôler la légalité de l’exécution de la peine. (…) Aussi, l’art. 11 al. 3 LEP doit-il être compris comme attribuant au Juge d’application des peines la compétence de statuer sur une action en constatation de l’illicéité des modalités d’exécution d’une peine exclusivement dans les cas où cette action est prévue par une (autre) disposition légale, constitutionnelle ou conventionnelle, sans qu’aucune autre autorité ne soit désignée pour en connaître. (…) Aucune disposition du Code pénal, ni aucune disposition de la LEP et des règlements fondés sur elle n’ouvrent une action en constatation de l’illicéité des conditions de détention au condamné qui</w:t>
      </w:r>
    </w:p>
    <w:p>
      <w:r>
        <w:t>- 9 - exécute une peine privative de liberté. Seul l’art. 13 CEDH, qui garantit le droit à un recours interne effectif en cas d’allégation de violation des droits reconnus par la CEDH, pourrait obliger le Juge d’application des peines à entrer en matière sur une requête d’un condamné tendant à la constatation de l’illicéité de ses conditions de détention. (…) L’art. 13 CEDH garantit l’existence en droit interne d’un recours pour les griefs que l’on peut estimer défendables au regard de la Convention. Un tel recours doit habiliter l’instance nationale compétente à connaître du contenu du grief fondé sur la Convention et à offrir le redressement approprié. Les États contractants jouissent d’une certaine marge d’appréciation quant à la manière de se conformer aux obligations que leur fait cette disposition : l'instance nationale n'a pas besoin d'être une institution judiciaire, mais alors ses pouvoirs et les garanties qu'elle présente entrent en ligne de compte pour apprécier l'effectivité du recours s'exerçant devant elle (arrêt de la CourEDH, Kudła c. Pologne du 20 octobre 2000 [req. n° 30210/96], § 157). En outre, la portée des obligations résultant de l’art. 13 CEDH varie en fonction de la nature du grief invoqué (arrêt de la CourEDH E.H. c. France du 22 juillet 2021 [req. n° 39126/18], § 175) ; ainsi, si la notion de recours effectif peut impliquer des procédures d’instruction et de constat immédiat en cas d’allégation de traitement inhumain ou dégradant prohibé par l’art. 3 CEDH (cf. ATF 141 IV 349 consid. 3.4.2 et les références), il n’en va pas nécessairement de même si le grief porte sur la violation d’autres dispositions de la Convention. Enfin, l’art. 13 CEDH oblige les autorités des États contractants à instruire sur les griefs " défendables " de violation d’un droit reconnu par la Convention, sans qu’il puisse s'interpréter comme imposant "un recours interne pour toute doléance, si injustifiée soit-elle, qu'un individu peut présenter sur le terrain de la Convention" (arrêts de la CourEDH M.S.S. c. Belgique et Grèce [GC], du 21 janvier 2011, req. 30696/09, par. 288 ss; Boyle et Rice c. Royaume-Uni [plénum], du 27 avril 1988, série A131, par. 52). L’autorité n’est donc pas tenue d’entrer en matière si les allégations qui lui sont présentées apparaissent d’emblée insoutenables ou si les faits allégués ne sont pas assez caractérisés et</w:t>
      </w:r>
    </w:p>
    <w:p>
      <w:r>
        <w:t>- 10 - graves pour constituer, à les supposer constants, une atteinte à l’un ou l’autre droits garantis par la CEDH. »</w:t>
      </w:r>
    </w:p>
    <w:p>
      <w:r>
        <w:rPr>
          <w:b/>
        </w:rPr>
        <w:t>E. 2.2.1</w:t>
      </w:r>
    </w:p>
    <w:p>
      <w:r>
        <w:t>En l’espèce, la Juge d’application des peines a retenu que les griefs formulés par le recourant au sujet de ses conditions de détention portaient sur des questions qui étaient régies par le RSPC (règlement sur le statut des personnes condamnées exécutant une peine privative de liberté ou une mesure du 16 août 2017 ; BLV 340.01.1) et étaient du ressort de l’établissement de détention ou de l’OEP. Partant, le recourant aurait dû adresser sa requête à la Direction des EPO. Dans le cadre de son recours, le recourant n’expose pas en quoi le raisonnement du premier juge selon lequel il existe une voie de droit ouverte par le RSPC auprès de la direction de l’établissement, dont la décision peut être contestée par un recours au Service pénitentiaire puis auprès de la Chambre des recours pénale, serait erroné ; en particulier, il n’invoque pas ni essaie de démontrer que ces voies de droit ne constitueraient pas un recours effectif au sens de l’art. 13 CEDH précité. Dans cette mesure, son recours est irrecevable (art. 385 al. 1 CPP).</w:t>
      </w:r>
    </w:p>
    <w:p>
      <w:r>
        <w:rPr>
          <w:b/>
        </w:rPr>
        <w:t>E. 2.2.2</w:t>
      </w:r>
    </w:p>
    <w:p>
      <w:r>
        <w:t>Pour le reste, le recourant fait valoir, d’une part, que dans une autre affaire (AP20.019462-LAS), le Juge d’application des peines serait entré en matière sur une requête similaire d’une condamnée tendant à faire constater l’illicéité de ses conditions de détention et, d’autre part, qu’il était contradictoire pour le premier juge, en l’espèce, d’avoir instruit la question de ses conditions de détention pour, finalement, déclarer sa requête irrecevable. S’agissant du premier argument, force est de constater que dans l’affaire à laquelle se réfère le recourant, la Chambre de céans, saisie d’un recours contre la décision du Juge d’application des peines statuant sur la conformité des conditions de détention de la condamnée en question, a expressément mis en cause la recevabilité de la requête de</w:t>
      </w:r>
    </w:p>
    <w:p>
      <w:r>
        <w:t>- 11 - cette dernière au motif qu’il était douteux que l’intéressée eût un intérêt immédiat et actuel au constat requis (CREP 23 février 2022/138 consid. 2). Le recourant ne saurait dès lors déduire de cette affaire que le premier juge aurait dû admettre sa compétence pour connaître de sa requête. Le grief est donc mal fondé et doit être rejeté. Quant au fait que le premier juge ait, dans le cas d’espèce, instruit la question des conditions de détention d’A.________, on ne saurait non plus en déduire que le magistrat devait entrer en matière sur sa requête ; cela ne crée quoi qu’il en soit pas pour autant une voie de droit. Au demeurant, le recourant invoque, dans son recours, la violation du « sentiment de justice » mais n’allègue pas ni a fortiori ne démontre qu’il y aurait violation d’une norme légale s’appliquant à la procédure cantonale, en particulier l’art. 3 al. 2 let. a CPP (par analogie). Cet argument est donc également mal fondé et doit être rejeté.</w:t>
      </w:r>
    </w:p>
    <w:p>
      <w:r>
        <w:rPr>
          <w:b/>
        </w:rPr>
        <w:t>E. 3</w:t>
      </w:r>
    </w:p>
    <w:p>
      <w:r>
        <w:t>Il résulte de ce qui précède que le recours, manifestement mal fondé, doit être rejeté dans la mesure où il est recevable (cf. consid. 2.2.1 supra), sans échange d’écritures (art. 390 al. 2 CPP), et l’ordonnance entreprise confirmée. Me Loïc Parein, défenseur d'office d’A.________, n'a pas produit de liste d'opérations. Au vu du mémoire produit, comprenant 2 pages (déduction faite de la page de garde et des conclusions), il convient de rémunérer au total 1,5 heures d’activité, le défenseur d’office s’étant par ailleurs limité à reprendre in extenso des passages de l’arrêt de la Chambre de céans auquel se réfère le premier juge en page 3 de l’ordonnance attaquée. Au tarif horaire de 180 fr., cela correspond à des honoraires de 270 fr., auxquels il convient d’ajouter des débours forfaitaires à concurrence de 2 % (art. 2 al. 1 let. a et 3bis al. 1 RAJ [règlement sur l'assistance judiciaire en matière civile du 7 décembre 2010; BLV 211.02.3], applicables par renvoi de l’art. 26b TFIP [tarif des frais judiciaires de procédure et indemnités en matière pénale du 28 septembre 2010 ; BLV 312.03.1]), par 5 fr. 40, plus la TVA au taux de</w:t>
      </w:r>
    </w:p>
    <w:p>
      <w:r>
        <w:t>- 12 - 7,7 % sur le tout, par 21 fr. 20, pour un total en chiffres arrondis de 297 francs. Les frais de la procédure de recours, constitués en l’espèce de l’émolument d'arrêt, par 1'210 fr. (art. 20 al. 1 TFIP), ainsi que des frais imputables à la défense d’office (art. 422 al. 1 et 2 let. a CPP), par 297 fr.,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dans la mesure où il est recevable. II. L’ordonnance du 18 février 2022 est confirmée. III. L’indemnité allouée au défenseur d’office d’A.________ est fixée à 297 fr. (deux cent nonante-sept francs). IV. Les frais d’arrêt, par 1'210 fr. (mille deux cent dix francs), ainsi que l’indemnité due au défenseur d’office d’A.________, par 297 fr. (deux cent nonante-sept francs), sont mis à la charge de ce dernier. V. Le remboursement à l’Etat de l’indemnité allouée au chiffre III ci-dessus ne sera exigible que pour autant que la situation financière d’A.________ le permette. VI. L’arrêt est exécutoire. La présidente : Le greffier :</w:t>
      </w:r>
    </w:p>
    <w:p>
      <w:r>
        <w:t>- 13 - Du Le présent arrêt, dont la rédaction a été approuvée à huis clos, est notifié, par l'envoi d'une copie complète, à : - Me Loïc Parein, avocat (pour A.________), - Ministère public central, et communiqué à : - Mme la Juge d’application des peines, - Mme la Procureure de l’arrondissement de Lausanne, - Office d’exécution des peines, - Direction des EPO,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