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AP19.007455 vom 5. Juli 2019</w:t>
      </w:r>
    </w:p>
    <w:p>
      <w:r>
        <w:t>VD Tribunal cantonal, 2019-07-05, FR</w:t>
      </w:r>
    </w:p>
    <w:p>
      <w:r>
        <w:rPr>
          <w:b/>
        </w:rPr>
        <w:t xml:space="preserve">Quelle: </w:t>
      </w:r>
      <w:r>
        <w:t>https://mcp.opencaselaw.ch/entscheid/vd_gerichte_AP19.007455</w:t>
      </w:r>
    </w:p>
    <w:p>
      <w:r>
        <w:t>FR: VD_GERICHTE AP19.007455 du 5 juillet 2019</w:t>
      </w:r>
    </w:p>
    <w:p>
      <w:r>
        <w:t>IT: VD_GERICHTE AP19.007455 del 5 luglio 2019</w:t>
      </w:r>
    </w:p>
    <w:p>
      <w:pPr>
        <w:pStyle w:val="Heading2"/>
      </w:pPr>
      <w:r>
        <w:t>Erwägungen</w:t>
      </w:r>
    </w:p>
    <w:p>
      <w:r>
        <w:rPr>
          <w:b/>
        </w:rPr>
        <w:t>E. 1</w:t>
      </w:r>
    </w:p>
    <w:p>
      <w:r>
        <w:t>CPP (Code de procédure pénale suisse du 5 octobre 2007 ; RS 312.0), à défaut de quoi il ne serait pas entré en matière. A.________ n’a pas procédé. En d roit :</w:t>
      </w:r>
    </w:p>
    <w:p>
      <w:r>
        <w:rPr>
          <w:b/>
        </w:rPr>
        <w:t>E. 1.1</w:t>
      </w:r>
    </w:p>
    <w:p>
      <w:r>
        <w:t>En vertu de l’art. 38 al. 1 LEP, les décisions rendues par le juge d'application des peines et par le collège des juges d'application des peines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w:t>
      </w:r>
    </w:p>
    <w:p>
      <w:r>
        <w:t>- 3 - décision (let. b) et les moyens de preuves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 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(ATF 143 IV 117 consid. 2.1). A défaut, un délai doit être accordé pour produire, sous peine d’irrecevabilité, une traduction dans la langue officielle (ATF 143 IV 117 précité ; TF 6B_1281/2016 du 4 août 2017 consid. 8.1.2 ; CREP 28 février 2018/145 consid. 1.1). Dans le canton de Vaud, la langue de la procédure est le français (art. 16 LVCPP).</w:t>
      </w:r>
    </w:p>
    <w:p>
      <w:r>
        <w:rPr>
          <w:b/>
        </w:rPr>
        <w:t>E. 1.3</w:t>
      </w:r>
    </w:p>
    <w:p>
      <w:r>
        <w:t>En l’espèce, malgré le délai imparti par le Président de la Cour de céans pour mettre en conformité son acte de recours, rédigé en allemand et non motivé, A.________ n’a pas procédé. En conséquence, ne satisfaisant pas aux exigences de forme posées aux art. 385 al. 1 et 67 CPP, le recours doit être déclaré irrecevable conformément à l’art. 385 al. 2 CPP.</w:t>
      </w:r>
    </w:p>
    <w:p>
      <w:r>
        <w:rPr>
          <w:b/>
        </w:rPr>
        <w:t>E. 2</w:t>
      </w:r>
    </w:p>
    <w:p>
      <w:r>
        <w:t>L’arrêt sera exceptionnellement rendu sans frais judiciaires.</w:t>
      </w:r>
    </w:p>
    <w:p>
      <w:r>
        <w:t>- 4 - Par ces motifs, la Chambre des recours pénale prononce : I. Le recours est irrecevable. II. L’arrêt, rendu sans frais, est exécutoire. Le président : La greffière : Du Le présent arrêt, dont la rédaction a été approuvée à huis clos, est notifié, par l'envoi d'une copie complète, à : - M. A.________, - Ministère public central, et communiqué à : - M. le Juge d’application des peines, - Ministère public de l’arrondissement de La Côte, - Office d’exécution des peines (réf. : cppl/152493/VRI/gri), - Prison de la Croisée, - Service de la population, par l’envoi de photocopies. Le présent arrêt peut faire l'objet d'un recours en matière pénale devant le Tribunal fédéral au sens des art. 78 ss LTF (Loi du 17 juin</w:t>
      </w:r>
    </w:p>
    <w:p>
      <w:r>
        <w:t>- 5 - 2005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