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AP19.005044 vom 11. April 2019</w:t>
      </w:r>
    </w:p>
    <w:p>
      <w:r>
        <w:t>VD Tribunal cantonal, 2019-04-11, FR</w:t>
      </w:r>
    </w:p>
    <w:p>
      <w:r>
        <w:rPr>
          <w:b/>
        </w:rPr>
        <w:t xml:space="preserve">Quelle: </w:t>
      </w:r>
      <w:r>
        <w:t>https://mcp.opencaselaw.ch/entscheid/vd_gerichte_AP19.005044</w:t>
      </w:r>
    </w:p>
    <w:p>
      <w:r>
        <w:t>FR: VD_GERICHTE AP19.005044 du 11 avril 2019</w:t>
      </w:r>
    </w:p>
    <w:p>
      <w:r>
        <w:t>IT: VD_GERICHTE AP19.005044 del 11 aprile 2019</w:t>
      </w:r>
    </w:p>
    <w:p>
      <w:pPr>
        <w:pStyle w:val="Heading2"/>
      </w:pPr>
      <w:r>
        <w:t>Erwägungen</w:t>
      </w:r>
    </w:p>
    <w:p>
      <w:r>
        <w:rPr>
          <w:b/>
        </w:rPr>
        <w:t>E. 1</w:t>
      </w:r>
    </w:p>
    <w:p>
      <w:r>
        <w:t>Aux termes de l'art. 38 al. 1 LEP (Loi sur l’exécution des condamnations pénales du 4 juillet 2006; BLV 340.01), les décisions rendues par l’OEP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BLV 312.01]; art. 80 LOJV [Loi vaudoise d’organisation judiciaire; BLV 173.01]). En l’espèce, le recours, qui a été interjeté en temps utile devant la Chambre des recours pénale et satisfait aux conditions de forme posées par l’art. 385 al. 1 CPP, est recevable.</w:t>
      </w:r>
    </w:p>
    <w:p>
      <w:r>
        <w:rPr>
          <w:b/>
        </w:rPr>
        <w:t>E. 2.1</w:t>
      </w:r>
    </w:p>
    <w:p>
      <w:r>
        <w:t>Le recourant souhaite être transféré dans le secteur ouvert de la Colonie des EPO. Il fait notamment valoir qu’il aurait déjà exécuté les deux tiers de sa peine en milieu fermé à la Prison du Bois-Mermet en raison de la durée de la procédure, et que la direction de la prison précitée aurait préavisé favorablement à sa libération conditionnelle. Il fait ensuite grief à l’OEP de ne pas avoir encore établi de PES. Il considère que ce n’est pas à lui de pâtir des conséquences de la surcharge de cet office. Il estime enfin remplir les conditions du travail externe, sa dangerosité n’étant selon lui pas établie, ni le risque de fuite.</w:t>
      </w:r>
    </w:p>
    <w:p>
      <w:r>
        <w:rPr>
          <w:b/>
        </w:rPr>
        <w:t>E. 2.2.1</w:t>
      </w:r>
    </w:p>
    <w:p>
      <w:r>
        <w:t>Selon l’art. 75 al. 4 CP (Code pénal du 21 décembre 1937; RS 311.0), le détenu doit participer activement aux efforts de resocialisation mis en œuvre et à la préparation de sa libération.</w:t>
      </w:r>
    </w:p>
    <w:p>
      <w:r>
        <w:rPr>
          <w:b/>
        </w:rPr>
        <w:t>E. 2.2.2</w:t>
      </w:r>
    </w:p>
    <w:p>
      <w:r>
        <w:t>L’art. 76 al. 1 CP prévoit que les peines privatives de liberté sont exécutées dans un établissement fermé ou ouvert. Le détenu est</w:t>
      </w:r>
    </w:p>
    <w:p>
      <w:r>
        <w:t>- 5 - placé dans un établissement fermé ou dans la section fermée d'un établissement ouvert s'il y a lieu de craindre qu'il ne s'enfuie ou ne commette de nouvelles infractions (art. 76 al. 2 CP). Le choix du lieu d'exécution constitue une modalité d'exécution de la mesure, qui relève de la compétence de l'autorité d'exécution (ATF 142 IV 1 consid. 2.5 ; TF 6B_629/2009 du 21 décembre 2009 consid. 1.2.3). Conformément à l'art. 19 al. 1 let. c LEP, c’est, dans le canton de Vaud, l’OEP qui est compétent pour désigner l'établissement dans lequel le condamné sera placé.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(TF 6B_1045/2013 du 14 avril 2014 consid. 2.1.1 et les références citées). Quant au risque de récidive, il doit être concret et hautement probable, c'est-à-dire résulter de l'appréciation d'une série de circonstances. Au regard du principe de la proportionnalité, le placement dans un établissement fermé ne peut être ordonné que lorsque le comportement ou l'état du condamné représente une grave mise en danger pour la sécurité publique (TF 6B_1045/2013 précité). L’exécution ouverte est considérée comme la règle, alors que l’exécution fermée constitue l’exception (Dupuis et al., Petit commentaire du Code pénal, 2e éd., Bâle 2017, n. 3 ad art. 76 CP).</w:t>
      </w:r>
    </w:p>
    <w:p>
      <w:r>
        <w:rPr>
          <w:b/>
        </w:rPr>
        <w:t>E. 2.2.3</w:t>
      </w:r>
    </w:p>
    <w:p>
      <w:r>
        <w:t>Aux termes de l’art. 75a al. 2 CP, les allégements dans l'exécution sont des adoucissements du régime de privation de liberté, notamment le transfert en établissement ouvert, l'octroi de congés, l'autorisation de travailler ou de loger à l'extérieur ainsi que la libération conditionnelle. Ces mesures, dans le cas d’un détenu dangereux, doivent être appréciées par la CIC (cf. art. 75a al. 1 et 3 CP).</w:t>
      </w:r>
    </w:p>
    <w:p>
      <w:r>
        <w:t>- 6 -</w:t>
      </w:r>
    </w:p>
    <w:p>
      <w:r>
        <w:rPr>
          <w:b/>
        </w:rPr>
        <w:t>E. 2.3</w:t>
      </w:r>
    </w:p>
    <w:p>
      <w:r>
        <w:t>En l’espèce, il faut constater que le recourant a purgé plus de la moitié de sa peine mais qu’il a dû rester en détention provisoire en raison d’aléas de la procédure qui ne lui sont pas imputables, puisqu’il a obtenu partiellement gain de cause au Tribunal fédéral le 17 avril 2018, entraînant un nouveau jugement de la Cour d’appel pénale du Tribunal cantonal le 7 août 2018. Dans ces circonstances, l’appréciation de la dangerosité de l’intéressé et l’élaboration d’un PES ne sauraient être repoussées comme s’il n’y avait aucune urgence, le risque de fuite apparaissant au demeurant inexistant. L’OEP ne saurait ainsi renvoyer une décision sur le fond au mois de mai ou de juin 2019 simplement pour des motifs administratifs. En revanche, le régime des congés et de travail externe dépendant d’une durée appropriée en établissement ouvert (art. 77a al. 2 CP), l’OEP n’ayant pas accordé un passage en milieu ouvert et ce passage n’ayant pas été considéré comme probant, la demande de congé et de travail externe présentée par le recourant ne peut qu’être rejetée.</w:t>
      </w:r>
    </w:p>
    <w:p>
      <w:r>
        <w:rPr>
          <w:b/>
        </w:rPr>
        <w:t>E. 3</w:t>
      </w:r>
    </w:p>
    <w:p>
      <w:r>
        <w:t>En définitive, le recours doit être partiellement admis et la décision du 22 février 2019 annulée, le dossier de la cause étant renvoyé à l’OEP pour qu’il procède sans délai à l’appréciation de la dangerosité de Z.________, qu’il élabore un PES le concernant et enfin qu’il rende rapidement une décision sur un passage en milieu ouvert fondée sur les éléments qui précèdent. Au vu de la nature particulière de la présente procédure, le recours à un avocat était nécessaire (art. 132 al. 2 CPP), de sorte que Me Kathrin Gruber doit être désignée comme défenseur d'office du recourant pour la procédure de recours. Les frais de la procédure de recours, constitués de l’émolument du présent arrêt, par 660 fr. (art. 20 al. 1 TFIP [Tarif des frais de procédure et indemnités en matière pénale du 28 septembre 2010; BLV</w:t>
      </w:r>
    </w:p>
    <w:p>
      <w:r>
        <w:t>- 7 - 312.03.1]), ainsi que des frais imputables à la défense d’office (art. 422 al. 1 et al. 2 let. a CPP), par 360 fr., plus la TVA par 27 fr. 70, soit à 387 fr. 70 au total, seront laissés à la charge de l’Etat (art. 423 al. 1 CPP). Par ces motifs, la Chambre des recours pénale prononce : I. Le recours est partiellement admis. II. La décision du 22 février 2019 est annulée. III. Le dossier de la cause est renvoyé à l’Office d’exécution des peines pour nouvelle décision au sens des considérants. IV. Me Kathrin Gruber est désignée comme défenseur d’office de Z.________ et son indemnité pour la procédure de recours est fixée à 387 fr. 70 (trois cent huitante-sept francs et septante centimes). V. Les frais d’arrêt, par 660 fr. (six cent soixante francs), ainsi que l’indemnité due au conseil d’office de Z.________, par 387 fr. 70 (trois cent huitante-sept francs et septante centimes), sont laissés à la charge de l’Etat. VI. L’arrêt est exécutoire. Le président : Le greffier : Du Le présent arrêt, dont la rédaction a été approuvée à huis clos, est notifié, par l'envoi d'une copie complète, à : - Me Kathrin Gruber, avocate (pour Z.________), - Ministère public central,</w:t>
      </w:r>
    </w:p>
    <w:p>
      <w:r>
        <w:t>- 8 - et communiqué à : - Office d’exécution des peines, - Etablissements de la plaine de l’Orbe,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