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AP19.003864 vom 15. Mai 2019</w:t>
      </w:r>
    </w:p>
    <w:p>
      <w:r>
        <w:t>VD Tribunal cantonal, 2019-05-15, FR</w:t>
      </w:r>
    </w:p>
    <w:p>
      <w:r>
        <w:rPr>
          <w:b/>
        </w:rPr>
        <w:t xml:space="preserve">Quelle: </w:t>
      </w:r>
      <w:r>
        <w:t>https://mcp.opencaselaw.ch/entscheid/vd_gerichte_AP19.003864</w:t>
      </w:r>
    </w:p>
    <w:p>
      <w:r>
        <w:t>FR: VD_GERICHTE AP19.003864 du 15 mai 2019</w:t>
      </w:r>
    </w:p>
    <w:p>
      <w:r>
        <w:t>IT: VD_GERICHTE AP19.003864 del 15 maggio 2019</w:t>
      </w:r>
    </w:p>
    <w:p>
      <w:pPr>
        <w:pStyle w:val="Heading2"/>
      </w:pPr>
      <w:r>
        <w:t>Erwägungen</w:t>
      </w:r>
    </w:p>
    <w:p>
      <w:r>
        <w:rPr>
          <w:b/>
        </w:rPr>
        <w:t>E. 1.1</w:t>
      </w:r>
    </w:p>
    <w:p>
      <w:r>
        <w:t>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condamné qui a qualité pour recourir (art. 382 al. 1 CPP) et dans les formes prescrites (art. 385 al. 1 CPP), le recours est recevable.</w:t>
      </w:r>
    </w:p>
    <w:p>
      <w:r>
        <w:rPr>
          <w:b/>
        </w:rPr>
        <w:t>E. 2.1</w:t>
      </w:r>
    </w:p>
    <w:p>
      <w:r>
        <w:t>Le recourant prétend implicitement que les conditions à l’octroi de sa libération conditionnelle seraient réunies, soutenant qu’il aurait la réelle volonté de rentrer dans son pays d’origine, qu’il y bénéficierait du soutien financier, professionnel et moral de sa famille, qu’il aurait des projets de mariage et qu’il pourrait envoyer des documents attestant de ce projet. Il soutient encore qu’il aurait mûri durant sa détention, qu’il aurait des regrets par rapport aux actes commis et qu’il serait persuadé que son évolution serait objective, malgré ses récentes sanctions disciplinaires, qui se justifieraient par le quotidien difficile en prison, qui rendrait ses réactions disproportionnées.</w:t>
      </w:r>
    </w:p>
    <w:p>
      <w:r>
        <w:rPr>
          <w:b/>
        </w:rPr>
        <w:t>E. 2.2</w:t>
      </w:r>
    </w:p>
    <w:p>
      <w:r>
        <w:t>Aux termes de l'art. 86 al. 1 CP, l'autorité compétente libère conditionnellement le détenu qui a subi les deux tiers de sa peine, mais au</w:t>
      </w:r>
    </w:p>
    <w:p>
      <w:r>
        <w:t>- 12 -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(ATF 133 IV 201 consid. 2.2 ; TF 6B_1134/2016 du 19 octobre 2016 consid. 1.2).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précité ; ATF 133 IV 201 précité consid. 2.3 ; Maire, La libération conditionnelle, in : Kuhn/Moreillon et alii, La nouvelle partie générale du Code pénal suisse, Berne 2006, p. 361 et les réf. citées). Tout pronostic constitue une prévision au sujet de laquelle on ne peut exiger une certitude absolue ; il faut donc se contenter d'une certaine probabilité, un risque de récidive ne pouvant être complètement exclu (Maire, op. cit., pp. 361-362 ; ATF 119 IV 5 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w:t>
      </w:r>
    </w:p>
    <w:p>
      <w:r>
        <w:t>- 13 -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(ATF 134 IV 140 consid. 4.2 ; ATF 133 IV 201 consid. 2.3 ; TF 6B_353/2019 du 25 avril 2019 consid. 1.2).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6B_11/2018 du 9 mai 2018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w:t>
      </w:r>
    </w:p>
    <w:p>
      <w:r>
        <w:rPr>
          <w:b/>
        </w:rPr>
        <w:t>E. 2.3</w:t>
      </w:r>
    </w:p>
    <w:p>
      <w:r>
        <w:t>En l’espèce, il n’est pas contesté que la première condition à la libération conditionnelle posée par l’art. 86 al. 1 CP est remplie, le recourant ayant atteint les deux tiers de sa peine le 24 juillet 2018. En ce qui concerne la deuxième condition posée par l’art. 86 al. 1 CP, elle n’est toujours pas réalisée. En effet, depuis l’ordonnance du 20 juillet 2018 confirmée par arrêt du 8 août 2018, force est de constater que le comportement du recourant ne s’est pas amélioré, mais bien plutôt qu’il s’est dégradé ces derniers mois. On relève ainsi que le recourant a été sanctionné le 26 septembre 2018 pour avoir fumé dans un lieu interdit (P. 3/1), le 3 octobre 2018 pour avoir plaqué un codétenu contre le mur et l’avoir secoué à plusieurs reprises (P. 3/2), le 21 février 2019 pour ne pas</w:t>
      </w:r>
    </w:p>
    <w:p>
      <w:r>
        <w:t>- 14 - avoir respecté les consignes d’un agent de détention, pour l’avoir insulté à plusieurs reprises et menacé en approchant sa tête de lui (P. 6/1), encore une fois le 21 février 2019 pour avoir menacé et insulté un agent de détention (P. 6/2) et enfin, le 28 mars 2019 pour s’être approprié les lunettes d’un codétenu sans son consentement, l’avoir giflé, avoir refusé les ordres des agents de détention, les avoir menacés et avoir eu un comportement agressif. Lors de ce dernier épisode, le recourant s’est en outre mutilé les avants-bras et a frappé violemment contre le mur (P. 14). En sus de ces cinq sanctions, il avait déjà reçu, au sein de cet établissement, deux avertissements pour un comportement inadéquat. Ainsi, et alors qu’il était conscient qu’il devait impérativement améliorer son comportement en détention, vu la teneur de l’ordonnance du 20 juillet 2018 et de l’arrêt de la Cour de céans du 8 août 2018, le recourant a continué à s’en prendre physiquement à des codétenus et à insulter et menacer le personnel de la prison. Dans ces conditions, la Chambre de céans ne peut que constater que le comportement du recourant en détention s’oppose à son élargissement. Quant au pronostic relatif au risque de récidive, il est toujours résolument défavorable. Les éléments exposés dans l’arrêt du 8 août 2018 demeurant d’actualité, et sont corroborés par les expertises psychiatriques au dossier, par l’évaluation criminologique du 28 janvier 2019 et par les épisodes violents survenus en février et mars 2019. Quant à ses projets, ils ne sauraient constituer un facteur de protection suffisant, demeurant à ce stade vagues et non susceptibles de lui fournir un cadre structurant. En effet, lorsqu’il a été interrogé par la présidente du Collège des juges d’application des peines, il a clairement déclaré qu’il avait l’intention de se rendre en France, à Lyon plus particulièrement, et son conseil a produit des documents en relation avec ce projet (P. 10). Il n’était alors pas question de retourner en Tunisie, comme il le prétend dans son recours. Son engagement dans ce sens paraît ainsi de pure circonstance. Il a par ailleurs conditionné par deux fois son retour en Tunisie à l’octroi d’une aide financière, faisant état d’un</w:t>
      </w:r>
    </w:p>
    <w:p>
      <w:r>
        <w:t>- 15 - comportement revendicateur devant la magistrate qui l’auditionnait. De fait, les projets mentionnés dans son recours, en relation avec son pays d’origine, sont non seulement vagues et généraux, mais aussi nullement étayés, alors que des pièces concrètes avaient été exigées de lui précédemment, notamment dans l’évaluation criminologique et dans la proposition de l’OEP. En particulier, il n’indique pas quelle activité professionnelle il pourrait entreprendre avec le concours de son père, alors qu’il a expliqué à la présidente du Collège des juges d’application des peines qu’il ne pourrait plus travailler dans la pizzeria de son père, cet établissement ayant été vendu (P. 11, ll. 83 à 85). En cas de retour en Tunisie, on ignore ainsi ce qu’il compte entreprendre pour éviter de sombrer à nouveau dans la délinquance. Il s’ensuit qu’en l’état, le risque de récidive élevé retenu par l’évaluation criminologique, notamment pour des actes de violence, existe toujours et que celui-ci a été corroboré par le comportement du recourant en détention. Au demeurant, faute de renseignements à cet égard, l’existence de facteurs de protection en Tunisie n’est pas établie. On ne saurait ainsi octroyer la libération conditionnelle au recourant, deux des conditions de l’art. 86 al. 1 CP n’étant pas réunies.</w:t>
      </w:r>
    </w:p>
    <w:p>
      <w:r>
        <w:rPr>
          <w:b/>
        </w:rPr>
        <w:t>E. 3</w:t>
      </w:r>
    </w:p>
    <w:p>
      <w:r>
        <w:t>En définitive, le recours doit être rejeté, sans autre échange d’écritures (art. 390 al. 2 CPP), et la décision attaquée confirmée. Les frais de la procédure de recours, constitués en l’espèce du seul émolument d'arrêt, par 1’540 fr. (art. 20 al. 1 TFIP [tarif des frais de procédure et indemnités en matière pénale du 28 septembre 2010 ; BLV 312.03.1]), seront mis à la charge du recourant, qui succombe (art. 428 al. 1 CPP).</w:t>
      </w:r>
    </w:p>
    <w:p>
      <w:r>
        <w:t>- 16 - Par ces motifs, la Chambre des recours pénale prononce : I. Le recours est rejeté. II. La décision du 29 avril 2019 est confirmée. III. Les frais d’arrêt, par 1’540 fr. (mille cinq cent quarante francs), sont mis à la charge du recourant. IV. L’arrêt est exécutoire. Le président : La greffière : Du Le présent arrêt, dont la rédaction a été approuvée à huis clos, est notifié, par l'envoi d'une copie complète, à : - P.________, - Ministère public central, et communiqué à : - Mme la Présidente du Collège des juges d’application des peines, - M. le Procureur de l’arrondissement de l’Est vaudois, - Office d’exécution des peines, - Direction de l’Etablissement d’exécution des peines de Bellevue, - Service de la population, par l’envoi de photocopies.</w:t>
      </w:r>
    </w:p>
    <w:p>
      <w:r>
        <w:t>- 17 -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