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AP19.001936 vom 12. April 2019</w:t>
      </w:r>
    </w:p>
    <w:p>
      <w:r>
        <w:t>VD Tribunal cantonal, 2019-04-12, FR</w:t>
      </w:r>
    </w:p>
    <w:p>
      <w:r>
        <w:rPr>
          <w:b/>
        </w:rPr>
        <w:t xml:space="preserve">Quelle: </w:t>
      </w:r>
      <w:r>
        <w:t>https://mcp.opencaselaw.ch/entscheid/vd_gerichte_AP19.001936</w:t>
      </w:r>
    </w:p>
    <w:p>
      <w:r>
        <w:t>FR: VD_GERICHTE AP19.001936 du 12 avril 2019</w:t>
      </w:r>
    </w:p>
    <w:p>
      <w:r>
        <w:t>IT: VD_GERICHTE AP19.001936 del 12 aprile 2019</w:t>
      </w:r>
    </w:p>
    <w:p>
      <w:pPr>
        <w:pStyle w:val="Heading2"/>
      </w:pPr>
      <w:r>
        <w:t>Erwägungen</w:t>
      </w:r>
    </w:p>
    <w:p>
      <w:r>
        <w:rPr>
          <w:b/>
        </w:rPr>
        <w:t>E. 1</w:t>
      </w:r>
    </w:p>
    <w:p>
      <w:r>
        <w:t>- 6 -</w:t>
      </w:r>
    </w:p>
    <w:p>
      <w:r>
        <w:rPr>
          <w:b/>
        </w:rPr>
        <w:t>E. 1.1</w:t>
      </w:r>
    </w:p>
    <w:p>
      <w:r>
        <w:t>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Le recourant conteste le refus de la libération conditionnelle. Il remet en cause le pronostic émis par la Juge d’application des peines. Il conteste en substance qu’on puisse tenir compte de l’avis de la CIC car son comportement se serait beaucoup amélioré depuis lors. L’OEP aurait d’ailleurs autorisé son passage en secteur fermé de la Colonie des EPO, puis à l’Etablissement d’exécution des peines de Bellevue. Quant à l’expertise figurant au dossier, elle aurait été mise en œuvre dans le cadre</w:t>
      </w:r>
    </w:p>
    <w:p>
      <w:r>
        <w:t>- 7 - d’une procédure qui serait actuellement « complètement enlisée », de sorte qu’elle aurait perdu toute actualité.</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En ce qui concerne la deuxième condition, soit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consid. 1a/aa). On peut même se demander si le comportement en détention représente encore un critère indépendant ou s'il n'est pas, selon les circonstances, un simple élément supplémentaire d'appréciation pour établir le pronostic (ATF 119 IV 5 consid. 1a/aa et les références citées ; TF 6A.71/2004 du 29 novembre 2004 consid. 2.2). Selon la jurisprudence du Tribunal fédéral, l'accent que le législateur a voulu mettre sur la</w:t>
      </w:r>
    </w:p>
    <w:p>
      <w:r>
        <w:t>- 8 - fonction de réinsertion sociale de la libération conditionnelle, et donc la priorité donnée au pronostic favorable, doivent être pris en considération dans l’appréciation du comportement du condamné durant l’exécution de la peine ;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 si les comportements reprochés au détenu n'atteignent pas le degré de gravité qui interdise d'emblée d'envisager la libération conditionnelle, ils doivent être pris en considération dans l'établissement du pronostic (ATF 119 IV 5 consid. 1a/bb ; CREP 13 mai 2015/327 ; CREP 28 janvier 2015/66). S’agissant de la troisième condition,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 Kuhn et al.,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w:t>
      </w:r>
    </w:p>
    <w:p>
      <w:r>
        <w:t>- 9 - se montrer moins exigeant quant à l'imminence et à la gravité du danger que lorsque des biens de moindre valeur, tels que la propriété ou le patrimoine, sont menacés (ATF 127 IV 1 consid. 2a et les arrêts cités). En outre, le Tribunal fédéral retient qu’il n’est pas juste de conclure à un pronostic défavorable parce que l’intéressé continue à nier ses infractions passées ; en effet, il n’existe aucune obligation de reconnaître les infractions commises, même après une condamnation, et le fait de contester les actes commis peut avoir de nombreux motifs ne jouant aucun rôle dans le processus d’émission du pronostic. La reconnaissance de la faute n’est pas une condition indispensable pour une existence future sans infractions (ATF 124 IV 193 consid. 5ee, JdT 2000 IV 162). Le Tribunal fédéral exige encore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w:t>
      </w:r>
    </w:p>
    <w:p>
      <w:r>
        <w:t>- 10 - 6B_900/2010 du 20 décembre 2010 consid. 1 ; ATF 133 IV 201 précité consid. 2.3).</w:t>
      </w:r>
    </w:p>
    <w:p>
      <w:r>
        <w:rPr>
          <w:b/>
        </w:rPr>
        <w:t>E. 2.3.1</w:t>
      </w:r>
    </w:p>
    <w:p>
      <w:r>
        <w:t>En l’espèce, le recourant est incarcéré depuis le 3 février 2016 et a purgé les deux tiers de sa peine le 28 mars 2019, de sorte que la première condition posée à l’art. 86 al. 1 CP est réalisée.</w:t>
      </w:r>
    </w:p>
    <w:p>
      <w:r>
        <w:rPr>
          <w:b/>
        </w:rPr>
        <w:t>E. 2.3.2</w:t>
      </w:r>
    </w:p>
    <w:p>
      <w:r>
        <w:t>; CREP 11 janvier 2017/19 consid. 2.3.2). Ainsi, pour ce motif, celle-ci doit être refusée.</w:t>
      </w:r>
    </w:p>
    <w:p>
      <w:r>
        <w:rPr>
          <w:b/>
        </w:rPr>
        <w:t>E. 2.3.3</w:t>
      </w:r>
    </w:p>
    <w:p>
      <w:r>
        <w:t>Par surabondance, on relèvera que le pronostic quant au comportement futur du condamné en cas de libération conditionnelle est manifestement défavorable. En effet, les conclusions des experts dans leur rapport du 6 octobre 2016 étaient très défavorables et indiquaient notamment que M.________ avait tendance à inverser les rôles, se décrivant constamment</w:t>
      </w:r>
    </w:p>
    <w:p>
      <w:r>
        <w:t>- 11 - comme victime d’accusations infondées. Les experts ont mis en évidence des traits de caractère narcissiques, paranoïaques et dépendants marqués, considérés comme fixés, rigides et dysfonctionnels. En outre, ils ont apprécié le risque de récidive de l’expertisé comme présent et élevé. En outre, la CIC, dans son avis du 17 octobre 2017, a considéré que M.________ présentait un comportement antisocial avéré et un risque important de récidive d’actes de violence, sans que des facteurs de protection probants aient pu être clairement identifiés. De plus, la Cour d’appel pénale, dans son jugement du</w:t>
      </w:r>
    </w:p>
    <w:p>
      <w:r>
        <w:rPr>
          <w:b/>
        </w:rPr>
        <w:t>E. 6</w:t>
      </w:r>
    </w:p>
    <w:p>
      <w:r>
        <w:t>septembre 2013, a décrit l’intéressé comme une personne intelligente mais sournoise, démontrant une absence totale de remise en question. En appel, il n’avait formulé aucun regret, confirmant ainsi son absence d’amendement, réitérée d’ailleurs lors de l’audience du 21 février 2019 tenue par la Juge d’application des peines. La pertinence de son appréciation est malheureusement confirmée par le comportement du recourant en détention. Compte tenu de ces circonstances, la libération conditionnelle doit être refusée à M.________. 3. Il résulte de ce qui précède que le recours, manifestement mal fondé, doit être rejeté sans échange d’écritures (art. 390 al. 2 CPP) et l’ordonnance du 27 mars 2019 confirmée. Les frais de la procédure de recours, constitués en l'espèce de l'émolument d'arrêt (art. 422 al. 1 CPP), par 1'210 fr. (art. 20 al. 1 TFIP [Tarif des frais de procédure et indemnités en matière pénale du 28 septembre 2010 ; BLV 312.03.1]), et des frais imputables à la défense d'office (art. 422 al. 1 et 2 let. a CPP), fixés à 540 fr., plus la TVA par 41 fr. 60, soit à un total de 581 fr. 60, seront mis à la charge du recourant, qui succombe (art. 428 al. 1 CPP).</w:t>
      </w:r>
    </w:p>
    <w:p>
      <w:r>
        <w:t>- 12 -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27 mars 2019 est confirmée. III. L’indemnité allouée au défenseur d’office de M.________ est fixée à 581 fr. 60 (cinq cent huitante et un francs et soixante centimes). IV. Les frais de la procédure de recours, par 1'210 fr. (mille deux cent dix francs), ainsi que l’indemnité due au défenseur d’office de M.________, par 581 fr. 60 (cinq cent huitante et un francs et soixante centimes), sont mis à la charge de ce dernier. V. Le remboursement à l'Etat de l'indemnité allouée au chiffre III ci-dessus sera exigible pour autant que la situation financière de M.________ le permette. VI. L’arrêt est exécutoire. Le président : Le greffier : Du Le présent arrêt, dont la rédaction a été approuvée à huis clos, est notifié, par l'envoi d'une copie complète, à : - Me Manuela Ryter Godel, avocate (pour M.________), - Ministère public central,</w:t>
      </w:r>
    </w:p>
    <w:p>
      <w:r>
        <w:t>- 13 - et communiqué à : - Mme la Juge d’application des peines, - Mme la Procureure de l’arrondissement du Nord vaudois, - Office d’exécution des peines (OEP/PPL/ [...]), - Etablissement d’exécution des peines de Bellevue, - Service de la population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