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AP18.024340 vom 11. März 2019</w:t>
      </w:r>
    </w:p>
    <w:p>
      <w:r>
        <w:t>VD Tribunal cantonal, 2019-03-11, FR</w:t>
      </w:r>
    </w:p>
    <w:p>
      <w:r>
        <w:rPr>
          <w:b/>
        </w:rPr>
        <w:t xml:space="preserve">Quelle: </w:t>
      </w:r>
      <w:r>
        <w:t>https://mcp.opencaselaw.ch/entscheid/vd_gerichte_AP18.024340</w:t>
      </w:r>
    </w:p>
    <w:p>
      <w:r>
        <w:t>FR: VD_GERICHTE AP18.024340 du 11 mars 2019</w:t>
      </w:r>
    </w:p>
    <w:p>
      <w:r>
        <w:t>IT: VD_GERICHTE AP18.024340 del 11 marzo 2019</w:t>
      </w:r>
    </w:p>
    <w:p>
      <w:pPr>
        <w:pStyle w:val="Heading2"/>
      </w:pPr>
      <w:r>
        <w:t>Erwägungen</w:t>
      </w:r>
    </w:p>
    <w:p>
      <w:r>
        <w:rPr>
          <w:b/>
        </w:rPr>
        <w:t>E. 4</w:t>
      </w:r>
    </w:p>
    <w:p>
      <w:r>
        <w:t>En définitive, le recours, manifestement mal fondé, doit être rejeté sans échange d’écritures (art. 390 al. 2 CPP) et l’ordonnance du 21 février 2019 confirmée. Les frais de la procédure de recours, constitués en l’espèce de l’émolument d'arrêt, par 1'430 fr. (art. 20 al. 1 TFIP [tarif des frais de</w:t>
      </w:r>
    </w:p>
    <w:p>
      <w:r>
        <w:t>- 15 - procédure et indemnités en matière pénale du 28 septembre 2010; BLV 312.03.1]), et des frais imputables à la défense d’office (art. 422 al. 1 et 2 let. a CPP), fixés à 720 fr., plus la TVA par 55 fr. 45, soit à 775 fr. 45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21 février 2019 est confirmée. III. L'indemnité allouée au défenseur d'office de B.________ est fixée à 775 fr. 45 (sept cent septante-cinq francs et quarante- cinq centimes). IV. Les frais d'arrêt, par 1'430 fr. (mille quatre cent trente francs), ainsi que l'indemnité due au défenseur d'office de B.________, par 775 fr. 45 (sept cent septante-cinq francs et quarante-cinq centimes), sont mis à la charge de ce dernier. V. Le remboursement à l'Etat de l'indemnité allouée au chiffre III ci-dessus sera exigible pour autant que la situation économique de B.________ le permette. VI. L’arrêt est exécutoire. Le président : La greffière :</w:t>
      </w:r>
    </w:p>
    <w:p>
      <w:r>
        <w:t>- 16 - Du Le présent arrêt, dont la rédaction a été approuvée à huis clos, est notifié, par l'envoi d'une copie complète, à : - Me Xavier Rubli, avocat (pour B.________), - Ministère public central, et communiqué à : - M. le Procureur de l'arrondissement de l'Est vaudois, - Office d'exécution des peines (réf.: OEP/PPL/148576/VRI/GAM), - Direction de l'établissement carcéral de Pöschwies,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