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AP18.023987 vom 27. Mai 2019</w:t>
      </w:r>
    </w:p>
    <w:p>
      <w:r>
        <w:t>VD Tribunal cantonal, 2019-05-27, FR</w:t>
      </w:r>
    </w:p>
    <w:p>
      <w:r>
        <w:rPr>
          <w:b/>
        </w:rPr>
        <w:t xml:space="preserve">Quelle: </w:t>
      </w:r>
      <w:r>
        <w:t>https://mcp.opencaselaw.ch/entscheid/vd_gerichte_AP18.023987</w:t>
      </w:r>
    </w:p>
    <w:p>
      <w:r>
        <w:t>FR: VD_GERICHTE AP18.023987 du 27 mai 2019</w:t>
      </w:r>
    </w:p>
    <w:p>
      <w:r>
        <w:t>IT: VD_GERICHTE AP18.023987 del 27 maggio 2019</w:t>
      </w:r>
    </w:p>
    <w:p>
      <w:pPr>
        <w:pStyle w:val="Heading2"/>
      </w:pPr>
      <w:r>
        <w:t>Erwägungen</w:t>
      </w:r>
    </w:p>
    <w:p>
      <w:r>
        <w:rPr>
          <w:b/>
        </w:rPr>
        <w:t>E. 1.1</w:t>
      </w:r>
    </w:p>
    <w:p>
      <w:r>
        <w:t>L’art. 26 al. 1 let. a LEP (loi cantonale sur l’exécution des condamnations pénales du 4 juillet 2006;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w:t>
      </w:r>
    </w:p>
    <w:p>
      <w:r>
        <w:t>- 11 -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devant l’autorité compétente par le condamné qui a qualité pour recourir (art. 382 al. 1 CPP) et dans les formes prescrites (art. 385 al. 1 CPP), le recours est recevable, sous la réserve du moyen dirigé contre la médication administrée au recourant (cf. consid. 2.4 ci-dessous).</w:t>
      </w:r>
    </w:p>
    <w:p>
      <w:r>
        <w:rPr>
          <w:b/>
        </w:rPr>
        <w:t>E. 2.1</w:t>
      </w:r>
    </w:p>
    <w:p>
      <w:r>
        <w:t>Dans son recours, le condamné conteste, pour l’essentiel, le diagnostic posé par les experts psychiatres et confirmé par les intervenants ultérieurs, se disant victime d’une grave erreur de diagnostic. Il conteste également la médication qui lui est administrée.</w:t>
      </w:r>
    </w:p>
    <w:p>
      <w:r>
        <w:rPr>
          <w:b/>
        </w:rPr>
        <w:t>E. 2.2.1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l'ancien art. 45 ch. 1 al.</w:t>
      </w:r>
    </w:p>
    <w:p>
      <w:r>
        <w:rPr>
          <w:b/>
        </w:rPr>
        <w:t>E. 2.2.2</w:t>
      </w:r>
    </w:p>
    <w:p>
      <w:r>
        <w:t>Selon l’art. 56 al. 3 CP, pour ordonner une des mesures prévues aux art. 59 à 61, 63 et 64 CP ou en cas de changement de sanction au sens de l’art. 65 CP, le juge se fonde sur une expertise. Celle-</w:t>
      </w:r>
    </w:p>
    <w:p>
      <w:r>
        <w:t>- 13 - ci se détermine : (a) sur la nécessité et les chances de succès d'un traitement; (b) sur la vraisemblance que l'auteur commette d'autres infractions et sur la nature de celles-ci; (c) sur les possibilités de faire exécuter la mesure. Dans ce cadre, l’expert devra se prononcer, en particulier, sur la forme du traitement et la mesure qui lui semble la plus appropriée. L'expert se prononce sur l'ensemble des conditions de fait de la mesure, étant gardé à l'esprit qu'il incombe au juge de déterminer si une mesure doit être ordonnée et, le cas échéant, laquelle. En effet, ce n'est pas à l'expert, mais bien au juge qu'il appartient de résoudre les questions juridiques qui se posent, dans le complexe de faits faisant l'objet de l'expertise (TF 6B_1160/2017 du 17 avril 2018 consid. 2.1; TF 6B_1348/2017 du 22 janvier 2018 consid. 1.1.3; TF 6B_346/2016 du 31 janvier 2017 consid. 3.2 et les références citées). Aux termes de l’art. 182 CPP, le ministère public et les tribunaux ont recours à un ou plusieurs experts lorsqu’ils ne disposent pas des connaissances et des capacités nécessaires pour constater ou juger un état de fait. Selon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6B_698/2018 du 26 octobre 2018 consid. 1.1 et les références citées). Si le juge se fonde sur une expertise dont les conclusions apparaissent douteuses sur des points essentiels et qu'il renonce à recueillir des preuves complémentaires, il peut commettre une appréciation arbitraire des preuves et violer l'art. 9 Cst. (ATF 142 IV 49 consid. 2.1.3).</w:t>
      </w:r>
    </w:p>
    <w:p>
      <w:r>
        <w:t>- 14 -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Le juge qui considère l'expertise concluante et en fait sien le résultat procède à une appréciation arbitraire,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TF 6B_698/2018 du 26 octobre 2018 consid. 1.1).</w:t>
      </w:r>
    </w:p>
    <w:p>
      <w:r>
        <w:rPr>
          <w:b/>
        </w:rPr>
        <w:t>E. 2.3</w:t>
      </w:r>
    </w:p>
    <w:p>
      <w:r>
        <w:t>En l’espèce, le recourant n’articule aucun moyen qui permettrait de remettre en cause la force probante de la dernière expertise en date, soit celle du 22 mai 2017. Le dossier ne comporte aucun avis médical dont il ressortirait que la situation se serait modifiée depuis lors. Cette expertise apparaît ainsi toujours d’actualité. Elle satisfait aux exigences de l’art. 56 al. 3 CP. A cet égard, il doit être rappelé que cette disposition n’impose pas une nouvelle expertise à chaque fois qu’il faut statuer sur la poursuite ou la prolongation de la mesure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II pp. 1787 ss, spéc. ch. 213.412 pp. 1878 ss.). Bien plutôt, le juge doit se fonder en premier lieu sur la requête ou l’avis de l’autorité d’exécution. Ici, les avis vont assurément dans le sens d’un maintien de la mesure, une libération conditionnelle apparaissant prématurée en l’état. Contrairement à ce que semble soutenir le recourant par une argumentation quelque peu confuse, l’expertise met en exergue un risque</w:t>
      </w:r>
    </w:p>
    <w:p>
      <w:r>
        <w:t>- 15 - élevé de réitération d’actes violents découlant de la lourde pathologie psychiatrique présentée par le condamné. Ce pronostic a été confirmé par les faits, dès lors que le condamné a, depuis le dépôt de l’expertise, commis nombre d’actes agressifs à l’égard de divers intervenants (cf. not P. 3/9), allant jusqu’à bouter le feu à sa cellule. Ce comportement a été à l’origine de plusieurs sanctions disciplinaires. Le condamné présente donc une dangerosité significative, comme le mentionnent expressément la Dresse [...] et la CIC (dans son avis du 3 avril 2018, fondé notamment sur l’examen du comportement de l’intéressé en détention et durant son placement). En outre, comme le relève le Ministère public dans ses déterminations du 22 février 2019, l’incohérence de nombre de propos tenus par le condamné à l’audience du 19 février 2019, ainsi que le manque d’amendement et de prise de conscience de la gravité de l’atteinte psychique que trahissent ces déclarations ne sont pas de nature à rassurer. Il en va de même du refus de l’intéresser de verser tout dédommagement à ses victimes. Les perspectives thérapeutiques apparaissent ainsi entravées par l’anosognosie à tout le moins partielle de l’intéressé, laquelle se manifeste singulièrement par les réticences du patient à l’égard de la médication qui lui est proposée. Les troubles présentés et la gravité de leurs effets excluent, pour l’heure, toute mesure ambulatoire. En présence d’éléments défavorables d’un tel poids, le fait qu’une alliance thérapeutique « semble en cours de construction » entre le condamné et ses thérapeutes (P. 3/11, p. 1 in fine) ne saurait infirmer un tant soit peu l’appréciation découlant de l’expertise du 22 mai 2017, qui est, comme déjà relevé, confortée factuellement par les actes et les propos ultérieurs de l’intéressé sans être contredite par un avis médical quelconque. Dès lors qu’il n’y a pas de raison de s’écarter des recommandations de cette expertise, qui paraît fondée, claire et complète, et que n’infirme aucun élément postérieur. Ainsi, l’état du condamné ne justifie pas qu'on lui donne l'occasion de faire ses preuves en liberté, aucun pronostic favorable ne pouvant être posé quant à son comportement futur. Partant, c’est à bon droit que le Juge d’application des peines a refusé la libération conditionnelle au recourant.</w:t>
      </w:r>
    </w:p>
    <w:p>
      <w:r>
        <w:t>- 16 -</w:t>
      </w:r>
    </w:p>
    <w:p>
      <w:r>
        <w:rPr>
          <w:b/>
        </w:rPr>
        <w:t>E. 2.4</w:t>
      </w:r>
    </w:p>
    <w:p>
      <w:r>
        <w:t>Pour le reste, la médication administrée au recourant ne constitue pas l’objet de l’ordonnance entreprise. Il ne relève dès lors pas de la cognition de la Cour de céans. Partant, le recours est irrecevable dans cette mesure.</w:t>
      </w:r>
    </w:p>
    <w:p>
      <w:r>
        <w:rPr>
          <w:b/>
        </w:rPr>
        <w:t>E. 3</w:t>
      </w:r>
    </w:p>
    <w:p>
      <w:r>
        <w:t>Au vu de ce qui précède, le recours, manifestement mal fondé, doit être rejeté dans la mesure où il est recevable, sans échange d'écritures (art. 390 al. 2 CPP), et l’ordonnance du 10 mai 2019 confirmée. Les frais de la procédure de recours, constitués du seul émolument d'arrêt, par 1’540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L’ordonnance du 10 mai 2019 est confirmée. III. Les frais d’arrêt, par 1’540 fr. (mille cinq cent quarante francs), sont mis à la charge d’L.________. IV. L’arrêt est exécutoire. Le président : Le greffier :</w:t>
      </w:r>
    </w:p>
    <w:p>
      <w:r>
        <w:t>- 17 - Du Le présent arrêt, dont la rédaction a été approuvée à huis clos, est notifié, par l'envoi d'une copie complète, à : - M. L.________, - Ministère public central, et communiqué à : - Me Matthieu Genillod, avocat, - Mme la Juge d’application des peines a.h., - Mme la Procureure de l’arrondissement de l’Est vaudois, - Office d’exécution des peines (réf. OEP/MES/145149/CGY/GAM), - Direction de Curabilis, - Service de la population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