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AP18.019674 vom 12. April 2019</w:t>
      </w:r>
    </w:p>
    <w:p>
      <w:r>
        <w:t>VD Tribunal cantonal, 2019-04-12, FR</w:t>
      </w:r>
    </w:p>
    <w:p>
      <w:r>
        <w:rPr>
          <w:b/>
        </w:rPr>
        <w:t xml:space="preserve">Quelle: </w:t>
      </w:r>
      <w:r>
        <w:t>https://mcp.opencaselaw.ch/entscheid/vd_gerichte_AP18.019674</w:t>
      </w:r>
    </w:p>
    <w:p>
      <w:r>
        <w:t>FR: VD_GERICHTE AP18.019674 du 12 avril 2019</w:t>
      </w:r>
    </w:p>
    <w:p>
      <w:r>
        <w:t>IT: VD_GERICHTE AP18.019674 del 12 aprile 2019</w:t>
      </w:r>
    </w:p>
    <w:p>
      <w:pPr>
        <w:pStyle w:val="Heading2"/>
      </w:pPr>
      <w:r>
        <w:t>Erwägungen</w:t>
      </w:r>
    </w:p>
    <w:p>
      <w:r>
        <w:rPr>
          <w:b/>
        </w:rPr>
        <w:t>E. 3</w:t>
      </w:r>
    </w:p>
    <w:p>
      <w:r>
        <w:t>; CREP 12 juillet 2012/366), de sorte que la requête tendant à la désignation d'un défenseur d'office pour la procédure de recours est superfétatoire. Les frais de la procédure de recours, constitués en l’espèce de l’émolument d'arrêt, par 2’530 fr. (art. 20 al. 1 TFIP [tarif des frais de procédure et indemnités en matière pénale du 28 septembre 2010; RSV 312.03.1]), et des frais imputables à la défense d’office (art. 422 al. 1 et 2 let. a CPP), fixés à 1’080 fr., plus la TVA par 83 fr. 15, soit un total de 1’163 fr. 15,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La décision du 22 mars 2019 est confirmée. III. L’indemnité allouée au défenseur d’office de N.________ est fixée à 1'163 fr. 15 (mille cent soixante-trois francs et quinze centimes). IV. Les frais d’arrêt, par 2’530 fr. (deux mille cinq cent trente francs), ainsi que l’indemnité due au défenseur d’office de N.________, par 1'163 fr. 15 (mille cent soixante-trois francs et quinze centimes), sont mis à la charge de ce dernier.</w:t>
      </w:r>
    </w:p>
    <w:p>
      <w:r>
        <w:t>- 26 - V. Le remboursement à l’Etat de l’indemnité allouée au chiffre III ci-dessus ne sera exigible que pour autant que la situation économique de N.________ le permette. VI. L’arrêt est exécutoire. Le président : Le greffier : Du Le présent arrêt, dont la rédaction a été approuvée à huis clos, est notifié, par l'envoi d'une copie complète, à : - Me Rachel Cavargna-Debluë, avocate (pour N.________), - Ministère public central, et communiqué à : - M. le Président de Collège des juges d’application des peines, - Mme la Procureure du Ministère public central, division affaires spéciales, - Office d’exécution des peines (réf. : OEP/MES/11224/ [...]), - Fondation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- 27 -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