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AP18.015563 vom 22. August 2018</w:t>
      </w:r>
    </w:p>
    <w:p>
      <w:r>
        <w:t>VD Tribunal cantonal, 2018-08-22, FR</w:t>
      </w:r>
    </w:p>
    <w:p>
      <w:r>
        <w:rPr>
          <w:b/>
        </w:rPr>
        <w:t xml:space="preserve">Quelle: </w:t>
      </w:r>
      <w:r>
        <w:t>https://mcp.opencaselaw.ch/entscheid/vd_gerichte_AP18.015563</w:t>
      </w:r>
    </w:p>
    <w:p>
      <w:r>
        <w:t>FR: VD_GERICHTE AP18.015563 du 22 août 2018</w:t>
      </w:r>
    </w:p>
    <w:p>
      <w:r>
        <w:t>IT: VD_GERICHTE AP18.015563 del 22 agosto 2018</w:t>
      </w:r>
    </w:p>
    <w:p>
      <w:pPr>
        <w:pStyle w:val="Heading2"/>
      </w:pPr>
      <w:r>
        <w:t>Erwägungen</w:t>
      </w:r>
    </w:p>
    <w:p>
      <w:r>
        <w:rPr>
          <w:b/>
        </w:rPr>
        <w:t>E. 1.1</w:t>
      </w:r>
    </w:p>
    <w:p>
      <w:r>
        <w:t>En vertu de l’art. 38 al. 1 LEP (Loi sur l’exécution des condamnations pénales du 4 juillet 2006 ; RSV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(CREP 15 août 2018/626 consid. 1 ; CREP 2 mars 2017/146 consid. 1). Selon l’art. 38 al. 2 LEP, la procédure est régie par les dispositions du CPP (Code de procédure pénale suisse du 5 octobre 2007 ; RS 312.0) relatives au recours. Le recours doit ainsi être adressé par écrit,</w:t>
      </w:r>
    </w:p>
    <w:p>
      <w:r>
        <w:t>- 4 - dans un délai de dix jours dès la notification de la décision attaquée (cf. art. 384 let. b CPP), à l’autorité de recours (art. 396 al. 1 CPP) qui est, dans le canton de Vaud, la Chambre des recours du Tribunal cantonal (art. 13 LVCPP [Loi d’introduction du Code de procédure pénale suisse du 19 mai 2009 ; RSV 312.01] ; art. 80 LOJV [Loi d’organisation judiciaire du 12 décembre 1979 ; RSV 173.01]).</w:t>
      </w:r>
    </w:p>
    <w:p>
      <w:r>
        <w:rPr>
          <w:b/>
        </w:rPr>
        <w:t>E. 1.2</w:t>
      </w:r>
    </w:p>
    <w:p>
      <w:r>
        <w:t>En l’espèce, le recours peut être considéré comme étant déposé en temps utile, dès lors qu’on ignore à quelle date son auteur a reçu la décision litigieuse (ATF 142 IV 125). Déposé auprès de l’autorité compétente et satisfaisant aux conditions de forme posées par l’art. 385 al. 1 CPP, il est dès lors recevable.</w:t>
      </w:r>
    </w:p>
    <w:p>
      <w:r>
        <w:rPr>
          <w:b/>
        </w:rPr>
        <w:t>E. 2</w:t>
      </w:r>
    </w:p>
    <w:p>
      <w:r>
        <w:t>Le recourant indique se réserver le droit de compléter son recours une fois qu’il aura eu accès à son dossier. Cette possibilité ne saurait toutefois lui être accordée, dès lors que la motivation d’un acte de recours doit être entièrement contenue dans l’acte de recours lui-même et ne saurait ainsi être complétée ou corrigée ultérieurement (TF 1B_183/2012 du 20 novembre 2012 consid. 2).</w:t>
      </w:r>
    </w:p>
    <w:p>
      <w:r>
        <w:rPr>
          <w:b/>
        </w:rPr>
        <w:t>E. 3.1</w:t>
      </w:r>
    </w:p>
    <w:p>
      <w:r>
        <w:t>Le recourant, qui s’oppose à son placement en secteur fermé, rappelle qu’il s’est présenté « tout seul » aux EPO le 24 octobre 2017 pour exécuter sa peine et qu’il n’a jamais eu de problèmes en détention jusqu’à ce que H.________ le dénonce auprès de la prison par courriels. Il affirme être victime de manipulations de la part de cette dernière et conteste en particulier l’avoir menacée de quelque manière que ce soit, notamment au moyen de textos.</w:t>
      </w:r>
    </w:p>
    <w:p>
      <w:r>
        <w:rPr>
          <w:b/>
        </w:rPr>
        <w:t>E. 3.2</w:t>
      </w:r>
    </w:p>
    <w:p>
      <w:r>
        <w:t>Aux termes de l’art. 75 al. 4 CP, le détenu doit participer activement aux efforts de resocialisation mis en œuvre et à la préparation de sa libération. Selon l’art. 76 CP, les peines privatives de liberté sont exécutées dans un établissement fermé ou ouvert (al. 1) ; le détenu est placé dans un établissement fermé ou dans la section fermée d’un établissement ouvert s’il y a lieu de craindre qu’il ne s’enfuie ou ne</w:t>
      </w:r>
    </w:p>
    <w:p>
      <w:r>
        <w:t>- 5 -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6B_1243/2017 du 13 mars 2018 consid. 1.1 et les réf. citées, applicable par analogie ; CREP 26 juin 2018/491 consid. 2.1 ; CREP 2 mars 2017/146 consid. 2.1). Selon certains auteurs, le critère du danger de fuite a pour conséquence qu’un condamné étranger sans autorisation de séjour doit être placé dans un établissement fermé (Dupuis et al., Petit commentaire du Code pénal, 2e éd., Bâle 2017, n. 6 ad art. 76 CP) et ne pourrait donc être placé en milieu ouvert ; par ailleurs, plus la durée de la peine à exécuter est longue, plus le risque de fuite doit être évalué à la hausse (ibid.).</w:t>
      </w:r>
    </w:p>
    <w:p>
      <w:r>
        <w:rPr>
          <w:b/>
        </w:rPr>
        <w:t>E. 3.3</w:t>
      </w:r>
    </w:p>
    <w:p>
      <w:r>
        <w:t>En l’espèce, on ne discerne pas de véritables menaces dans les messages adressés par le recourant à sa compagne, tels qu’ils figurent en annexe du rapport de situation du 18 juillet 2018. En revanche, certains de ces messages contiennent des propos qui dénotent une certaine agressivité et revêtent indubitablement un caractère injurieux. Cette circonstance, jointe à l’usage interdit d’un téléphone portable en détention, ne doit pas être minimisée, compte tenu des nombreux antécédents du recourant, notamment pour des actes de violence ainsi que pour menaces qualifiées et contrainte à l’encontre de son ex-épouse (cf. jugement du 25 août 2016, p. 35). Dans ces conditions, l’OEP était fondé à ordonner, en raison des risques de fuite et de récidive, le placement de l’intéressé en secteur fermé de la Colonie. Au surplus, et comme le relève l’autorité intimée, la situation de l’intéressé pourra le cas échéant être réexaminée à réception de l’avis de la CIC.</w:t>
      </w:r>
    </w:p>
    <w:p>
      <w:r>
        <w:t>- 6 -</w:t>
      </w:r>
    </w:p>
    <w:p>
      <w:r>
        <w:rPr>
          <w:b/>
        </w:rPr>
        <w:t>E. 4</w:t>
      </w:r>
    </w:p>
    <w:p>
      <w:r>
        <w:t>Il résulte de ce qui précède que le recours, manifestement mal fondé, doit être rejeté sans échange d’écritures (art. 390 al. 2 CPP) et la décision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27 juillet 2018 est confirmée. III. Les frais d’arrêt, par 660 fr. (six cent soixante francs), sont mis à la charge de T.________. IV. L’arrêt est exécutoire. Le président : Le greffier : Du Le présent arrêt, dont la rédaction a été approuvée à huis clos, est notifié, par l'envoi d'une copie complète, à : - M. T.________, - Ministère public central,</w:t>
      </w:r>
    </w:p>
    <w:p>
      <w:r>
        <w:t>- 7 - et communiqué à : - Office d’exécution des peines, - Direction des Etablissements de la plaine de l’Orbe, - Service pénitentiaire, Unité d’évaluation criminologique,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