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AP18.013322 vom 25. September 2018</w:t>
      </w:r>
    </w:p>
    <w:p>
      <w:r>
        <w:t>VD Tribunal cantonal, 2018-09-25, FR</w:t>
      </w:r>
    </w:p>
    <w:p>
      <w:r>
        <w:rPr>
          <w:b/>
        </w:rPr>
        <w:t xml:space="preserve">Quelle: </w:t>
      </w:r>
      <w:r>
        <w:t>https://mcp.opencaselaw.ch/entscheid/vd_gerichte_AP18.013322</w:t>
      </w:r>
    </w:p>
    <w:p>
      <w:r>
        <w:t>FR: VD_GERICHTE AP18.013322 du 25 septembre 2018</w:t>
      </w:r>
    </w:p>
    <w:p>
      <w:r>
        <w:t>IT: VD_GERICHTE AP18.013322 del 25 settembre 2018</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Selon l’art. 38 LEP, les décisions rendues par le juge d'application des peines et par le collège des juges d'application des peines peuvent faire l'objet d'un recours auprès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à la Chambre des recours pénale du Tribunal cantonal (art. 13 LVCPP [loi d’introduction du code de procédure pénale suisse du 19 mai 2009 ; RSV 312.01] ; art. 80 LOJV [loi d'organisation judiciaire du 12 septembre 1979 ; RSV 173.01]).</w:t>
      </w:r>
    </w:p>
    <w:p>
      <w:r>
        <w:rPr>
          <w:b/>
        </w:rPr>
        <w:t>E. 1.2</w:t>
      </w:r>
    </w:p>
    <w:p>
      <w:r>
        <w:t>En l’espèce, interjeté en temps utile devant l’autorité compétente par le condamné qui a qualité pour recourir (art. 382 al. 1</w:t>
      </w:r>
    </w:p>
    <w:p>
      <w:r>
        <w:t>- 9 - CPP) et dans les formes prescrites (art. 385 al. 1 CPP), le recours est recevable.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 CREP 7 octobre 2016/670 consid. 2.1).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consid. 2.3 ; ATF 133 IV 201 consid. 2.3 ; Maire, La libération conditionnelle, in : Nouvelle partie générale du Code pénal suisse, Berne 2006, p. 361 et les réf. citées). Tout pronostic constitue une prévision au sujet de laquelle on ne peut exiger une certitude absolue ; il faut donc se contenter d'une certaine probabilité, un risque de récidive ne pouvant être complètement exclu (Maire, op. cit., pp. 361-362 ; ATF 119 IV 5 consid. 1b). Selon la jurisprudence, les évaluations du risque de récidive et de la dangerosité du condamné sont des éléments qui font partie du pronostic. Au moment d’effectuer ces</w:t>
      </w:r>
    </w:p>
    <w:p>
      <w:r>
        <w:t>- 10 -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consid. 2.3).</w:t>
      </w:r>
    </w:p>
    <w:p>
      <w:r>
        <w:rPr>
          <w:b/>
        </w:rPr>
        <w:t>E. 2.2</w:t>
      </w:r>
    </w:p>
    <w:p>
      <w:r>
        <w:t>En l’espèce, le recourant a purgé les deux tiers de sa peine le 9 septembre 2018 et son comportement en détention peut être considéré comme globalement satisfaisant, de sorte que les deux premières conditions de l'art. 86 al. 1 CP sont réalisées. Quant à la troisième condition nécessaire à la libération conditionnelle, la Cour de céans ne peut que confirmer le pronostic défavorable retenu par le premier juge. En effet, les antécédents de Z.________ sont mauvais, l’intéressé étant installé dans la délinquance. Il y a eu huit condamnations en Suisse. Entre 2007 et 2016, il a subi des peines privatives de liberté et de la détention provisoire. Il a mis en échec trois mesures thérapeutiques institutionnelles au sens de l’art. 60 CP et deux libérations conditionnelles qui lui avaient été octroyées ont été révoquées. Ces circonstances ne paraissent pas avoir exercé sur lui l’effet dissuasif escompté. A cela s’ajoute que son comportement en détention est loin d’être exemplaire. Certes, comme le soutient le recourant, ce ne sont pas les faits relatifs à sa condamnation qui sont pertinents, mais son</w:t>
      </w:r>
    </w:p>
    <w:p>
      <w:r>
        <w:t>- 11 - évolution depuis lors. Toutefois, il admet aussi que sa situation psychologique est fragile et passe sous silence le fait qu’une instruction pénale est actuellement ouverte contre lui en raison de coups donnés à un codétenu, ainsi que le fait qu’il a consommé du THC en prison. Aussi, si l'intéressé n'est pas à même de se maîtriser dans le milieu hautement contraignant qu'est un établissement carcéral, il est douteux qu'il y parvienne en liberté. Compte tenu de l’ensemble de ces éléments, du risque important de récidive, de la trop faible évolution du recourant, la Cour de céans est d’avis, à l’instar de l’OEP, qu’il convient de tester l’intéressé dans le cadre d’éventuels élargissements graduels de peine, avant de pouvoir envisager une libération conditionnelle. Force est ainsi de constater que le pronostic quant au comportement futur du recourant est clairement défavorable et que le risque qu’il commette à nouveau des infractions à sa sortie est élevé. Le solde de peine à exécuter en cas de réintégration ne saurait selon toute vraisemblance exercer un effet suffisamment dissuasif sur ce condamné multirécidiviste. Partant, la libération conditionnelle doit lui être refusée.</w:t>
      </w:r>
    </w:p>
    <w:p>
      <w:r>
        <w:rPr>
          <w:b/>
        </w:rPr>
        <w:t>E. 3</w:t>
      </w:r>
    </w:p>
    <w:p>
      <w:r>
        <w:t>Il résulte de ce qui précède que le recours, manifestement mal fondé, doit être rejeté sans autres échanges d’écritures (art. 390 al. 2 CPP) et l’ordonnance attaquée confirmée. Selon la liste des opérations produite, Me Tiphanie Chappuis, défenseur d’office du recourant, réclame une indemnité correspondant à 5h53 d’activités d’avocat breveté à 180 fr., plus 24 fr. 80 de débours, plus la TVA. Au regard de la nature de la présente affaire et du mémoire de recours, qui comporte six pages, hors page de garde et conclusions, le temps consacré par l’avocate aux postes « Rédaction recours », « Finalisation recours et établissement bordereau », « Lettre au TC avec annexes » et « Lettre au client avec annexes » est excessif. On peut admettre une durée totale de 3 heures d’activité à 180 fr. pour les</w:t>
      </w:r>
    </w:p>
    <w:p>
      <w:r>
        <w:t>- 12 - opérations liées à la procédure de recours, soit un montant de 540 fr., auquel s’ajoutent les débours, par 24 fr. 80, et la TVA, par 43 fr. 50.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608 fr. 30, seront mis à la charge de Z.________,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7 septembre 2018 est confirmée. III. L’indemnité allouée au défenseur d’office de Z.________ est fixée à 608 fr. 30 (six cent huit francs et trente centimes). IV. Les frais d’arrêt, par 1’210 fr. (mille deux cent dix francs), ainsi que l'indemnité due au défenseur d'office de Z.________, par 608 fr. 30 (six cent huit francs et trente centimes), sont mis à la charge de ce dernier. V. Le remboursement à l'Etat de l'indemnité allouée au chiffre III ci-dessus sera exigible pour autant que la situation financière de Z.________ le permette. VI. L’arrêt est exécutoire. Le président : La greffière :</w:t>
      </w:r>
    </w:p>
    <w:p>
      <w:r>
        <w:t>- 13 - Du Le présent arrêt, dont la rédaction a été approuvée à huis clos, est notifié, par l'envoi d'une copie complète, à : - Me Tiphanie Chappuis, avocate (pour Z.________), - Ministère public central ; et communiqué à : - Juge d’application des peines, - M. le Procureur de l’arrondissement de l’Est vaudois, - Office d’exécution des peines (PPL/59760/VRI/MBD), - Direction des Etablissements de la plainte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