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AP18.011561 vom 27. Juni 2018</w:t>
      </w:r>
    </w:p>
    <w:p>
      <w:r>
        <w:t>VD Tribunal cantonal, 2018-06-27, FR</w:t>
      </w:r>
    </w:p>
    <w:p>
      <w:r>
        <w:rPr>
          <w:b/>
        </w:rPr>
        <w:t xml:space="preserve">Quelle: </w:t>
      </w:r>
      <w:r>
        <w:t>https://mcp.opencaselaw.ch/entscheid/vd_gerichte_AP18.011561</w:t>
      </w:r>
    </w:p>
    <w:p>
      <w:r>
        <w:t>FR: VD_GERICHTE AP18.011561 du 27 juin 2018</w:t>
      </w:r>
    </w:p>
    <w:p>
      <w:r>
        <w:t>IT: VD_GERICHTE AP18.011561 del 27 giugno 2018</w:t>
      </w:r>
    </w:p>
    <w:p>
      <w:pPr>
        <w:pStyle w:val="Heading2"/>
      </w:pPr>
      <w:r>
        <w:t>Erwägungen</w:t>
      </w:r>
    </w:p>
    <w:p>
      <w:r>
        <w:rPr>
          <w:b/>
        </w:rPr>
        <w:t>E. 1.1</w:t>
      </w:r>
    </w:p>
    <w:p>
      <w:r>
        <w:t>Selon l’art. 38 al. 1 LEP (Loi sur l’exécution des condamnations pénales du 4 juillet 2006 ; RSV 340.01), peuvent notamment faire l’objet d’un recours au Tribunal cantonal les décisions rendues par l’Office d’exécution des peines. L’art. 38 al. 2 LEP mentionne que la procédure est régie par les dispositions du CPP (Code de procédure pénale suisse du 5 octobre 2007 ; RS 312.0). Le recours doit ainsi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du 12 décembre 1979 ; RSV 173.01]).</w:t>
      </w:r>
    </w:p>
    <w:p>
      <w:r>
        <w:rPr>
          <w:b/>
        </w:rPr>
        <w:t>E. 1.2</w:t>
      </w:r>
    </w:p>
    <w:p>
      <w:r>
        <w:t>En vertu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querellée.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Il peut exceptionnellement être fait abstraction de l’exigence d’un intérêt actuel lorsque la contestation peut se reproduire en tout temps dans des circonstances identiques ou analogues, que sa nature ne</w:t>
      </w:r>
    </w:p>
    <w:p>
      <w:r>
        <w:t>- 5 - permet pas de la trancher avant qu’elle perde son actualité et que, en raison de sa portée de principe, il existe un intérêt public suffisamment important à la solution de la question litigieuse (ATF 137 I 23 consid. 1.3.1 ; sur le tout : TF 1B_126/2016 du 8 juin 2016 consid. 1.1 ; CREP 8 novembre 2017/751 consid. 1.2 ; CREP 19 juillet 2016/485 consid. 1.2).</w:t>
      </w:r>
    </w:p>
    <w:p>
      <w:r>
        <w:rPr>
          <w:b/>
        </w:rPr>
        <w:t>E. 1.3</w:t>
      </w:r>
    </w:p>
    <w:p>
      <w:r>
        <w:t>En l’espèce, le recourant ne dispose plus d’un intérêt actuel à l’annulation ou la modification de la décision attaquée, la date du congé sollicité, au 16 juin 2018, étant passée. Cela étant, il est vraisemblable – puisque la peine ne sera totalement exécutée que le 31 décembre 2018 – qu’une telle contestation puisse se reproduire dans des circonstances analogues. Partant, il y a lieu d’admettre que le recourant dispose d’un intérêt juridiquement protégé à ce que soit tranchée la question litigieuse, à savoir celle de son droit à obtenir des congés. Pour le surplus, interjeté dans le délai légal auprès de l’autorité compétente, par un condamné détenu qui a la qualité pour recourir (art. 382 al. 1 CPP), le recours est recevable.</w:t>
      </w:r>
    </w:p>
    <w:p>
      <w:r>
        <w:rPr>
          <w:b/>
        </w:rPr>
        <w:t>E. 2.1</w:t>
      </w:r>
    </w:p>
    <w:p>
      <w:r>
        <w:t>En substance, le recourant motive sa demande de congé par le fait qu’il souhaite pouvoir passer quelques heures avec son fils, avec lequel il entretiendrait une relation intense et fusionnelle depuis sa naissance, s’investissant dans toutes ses activités. Il explique que son fils a aujourd’hui terminé sa scolarité obligatoire et qu’il souhaite dès lors avoir l’opportunité de l’encourager pour la suite. Il ajoute qu’il refuse de faire venir son fils en prison car il souhaite le préserver de cet environnement, qu’il pense pouvoir être de nature à le perturber compte tenu de son caractère fragile et sensible. Enfin, le recourant précise qu’il n’aurait aucune intention de fuite ni de récidive et en veut pour preuve qu’en septembre 2017, il s’est spontanément présenté à la prison afin d’y exécuter sa peine de manière responsable.</w:t>
      </w:r>
    </w:p>
    <w:p>
      <w:r>
        <w:rPr>
          <w:b/>
        </w:rPr>
        <w:t>E. 2.2</w:t>
      </w:r>
    </w:p>
    <w:p>
      <w:r>
        <w:t>- 6 -</w:t>
      </w:r>
    </w:p>
    <w:p>
      <w:r>
        <w:rPr>
          <w:b/>
        </w:rPr>
        <w:t>E. 2.2.1</w:t>
      </w:r>
    </w:p>
    <w:p>
      <w:r>
        <w:t>Aux termes de l’art. 84 al. 6 CP (Code pénal suisse du 21 décembre 1937 ; RS 311.0),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 citées ; TF 6B_1027/2010 du 4 avril 2011 consid. 4.3.1). L’art. 84 al. 6 CP ne confère pas un droit au congé (Dupuis et al. [éd.], Petit commentaire du Code pénal, 2e éd., Bâle 2017, n. 18 ad art. 84 CP). Le juge chargé d’émettre le pronostic dispose à cet égard d’un large pouvoir d’appréciation (ATF 133 IV 201 consid. 2.3).</w:t>
      </w:r>
    </w:p>
    <w:p>
      <w:r>
        <w:rPr>
          <w:b/>
        </w:rPr>
        <w:t>E. 2.2.2</w:t>
      </w:r>
    </w:p>
    <w:p>
      <w:r>
        <w:t>La réglementation de détail concernant les autorisations de sortie est du ressort des cantons, qui sont compétents pour fixer la nature et la durée du congé, ainsi que pour concrétiser les conditions posées par le droit fédéral (Dupuis et al., op. cit., n. 19 ad art. 84 CP ; TF 6B_774/2011 du 3 avril 2012 consid. 1). Dans le canton de Vaud, le Règlement sur le statut des personnes condamnées exécutant une peine privative de liberté ou une mesure du 16 août 2017 (RSPC ; RSV 340.01.1) est entré en vigueur le 1er janvier 2018. Il renvoie, à son art. 92, au RASAdultes (Règlement concernant l’octroi d’autorisations de sortie aux personnes condamnées</w:t>
      </w:r>
    </w:p>
    <w:p>
      <w:r>
        <w:t>- 7 - adultes et jeunes adultes du 31 octobre 2013 ; RSV 340.93.1) s’agissant des autorisations de sortie. Le RASAdultes définit les conditions auxquelles est soumis l’octroi d’une autorisation de sortie par les autorités compétentes. Selon l’art. 3 let. a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ainsi qu’à maintenir le lien avec le monde extérieur et à structurer une exécution de longue durée (let. d). Selon l’art. 10 al. 4 RASAdultes, l’autorité compétente fixe les conditions de cas en cas pour l’octroi d’une autorisation de sortie. L’art. 10 al. 1 RASAdultes précise toutefois que pour obtenir une telle autorisation, respectivement un congé ou une permission, la personne détenue doit notamment avoir effectué un séjour de deux mois dans le même établissement, pour autant qu’elle ait accompli au moins le tiers de sa peine (let. b), apporter des éléments probants pour démontrer que l’octroi d’une autorisation de sortie est compatible avec le besoin de protection de</w:t>
      </w:r>
    </w:p>
    <w:p>
      <w:r>
        <w:t>- 8 - la collectivité (let. c), justifier qu’elle a pris une part active aux objectifs de resocialisation prévus dans le plan d’exécution de la sanction pénale et que cette demande est inscrite dans ledit plan (let. d) et démontrer que son attitude au cours de la détention la rend digne de la confiance accrue qu’elle sollicite (let. e). Quant à l’art. 11 al. 3 RASAdultes, il prévoit que la durée des deux premiers congés est de 24 heures. Selon l’art. 11 al. 2 RASAdultes, les congés peuvent être fractionnés pour des raisons particulières.</w:t>
      </w:r>
    </w:p>
    <w:p>
      <w:r>
        <w:rPr>
          <w:b/>
        </w:rPr>
        <w:t>E. 2.3</w:t>
      </w:r>
    </w:p>
    <w:p>
      <w:r>
        <w:t>En l’occurrence, le travail effectué par le recourant dans le cadre de son exécution de peine a été qualifié de correct par la Direction des EPO et son comportement général n’a appelé aucune remarque négative, M.________ n’ayant d’ailleurs jamais fait l’objet de sanction disciplinaire. Bien que celui-ci remplisse ainsi la première condition exigée pour l’octroi d’une autorisation de sortie, il n’en est pas de même s’agissant de l’absence de risque de fuite et de récidive. En effet, force est de constater, à l’instar de l’Office d’exécution des peines, que le recourant a été condamné à de réitérées reprises pour séjour illégal depuis 2011 et qu’il fait l’objet d’une décision de renvoi de Suisse. En outre, M.________ n’a pas caché son intention de rester en Suisse une fois sa peine exécutée, en particulier afin de pouvoir continuer à entretenir des relations proches et soutenues avec son fils. A cet égard, il a déclaré ne pas envisager de rentrer en [...] et ne pas souhaiter collaborer aux démarches lui permettant un retour dans ce pays. Aussi, au vu des antécédents du recourant et de sa volonté affichée de demeurer en Suisse une fois libéré, le risque de fuite dans la clandestinité et, a fortiori, de récidive en matière d’infractions à la Loi fédérale sur les étrangers est élevé. Ce sont d’ailleurs ces motifs qui ont poussé tant la Direction des EPO que l’Office d’exécution des peines à émettre un préavis défavorable à la future possibilité de libération conditionnelle de M.________. C’est dès lors à juste titre que l’Office d’exécution des peines a estimé que la réalisation de ces risques contrevenait à l’octroi du congé sollicité par le recourant.</w:t>
      </w:r>
    </w:p>
    <w:p>
      <w:r>
        <w:t>- 9 - Pour le surplus, on relèvera que, même s’il expose qu’il souhaiterait idéalement que son fils ne soit pas confronté au milieu carcéral, M.________ n’a jamais prétendu que la mère de celui-ci refusait de l’amener au parloir en vue d’une visite. Il existe ainsi des possibilités réelles de visites en détention, ainsi que de contacts téléphoniques, permettant de maintenir des relations régulières entre le recourant et son fils, de sorte que l’octroi de l’autorisation de sortie requise n’apparaît pas indispensable (cf. art. 4 al. 1 let. b et c RASAdultes).</w:t>
      </w:r>
    </w:p>
    <w:p>
      <w:r>
        <w:rPr>
          <w:b/>
        </w:rPr>
        <w:t>E. 3</w:t>
      </w:r>
    </w:p>
    <w:p>
      <w:r>
        <w:t>En définitive, le recours, manifestement mal fondé, doit être rejeté, sans autre échange d’écritures (art. 390 al. 2 CPP et 39a al. 1 LEP), et la décision du 4 juin 2018 confirmée. Les frais de la procédure de recours, constitués en l’espèce du seul émolument d’arrêt, par 990 fr. (art. 20 al. 1 TFIP [Tarif des frais de procédure et indemnités en matière pénale du 29 septembre 2010 ; RSV 312.03.1]), seront mis à la charge du recourant, qui succombe (art. 428 al. 1 CPP). Par ces motifs, la Chambre des recours pénale prononce : I. Le recours est rejeté. II. La décision du 4 juin 2018 est confirmée. III. Les frais d’arrêt, par 990 fr. (neuf cent nonante francs), sont mis à la charge du recourant M.________. IV. L’arrêt est exécutoire. Le président : La greffière :</w:t>
      </w:r>
    </w:p>
    <w:p>
      <w:r>
        <w:t>- 10 - Du Le présent arrêt, dont la rédaction a été approuvée à huis clos, est notifié, par l'envoi d'une copie complète, à : - M. M.________, - Ministère public central, et communiqué à : - Office d’exécution des peines, - Direction des Etablissements de la plaine de l’Orbe,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