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AP18.008356 vom 28. Mai 2018</w:t>
      </w:r>
    </w:p>
    <w:p>
      <w:r>
        <w:t>VD Tribunal cantonal, 2018-05-28, FR</w:t>
      </w:r>
    </w:p>
    <w:p>
      <w:r>
        <w:rPr>
          <w:b/>
        </w:rPr>
        <w:t xml:space="preserve">Quelle: </w:t>
      </w:r>
      <w:r>
        <w:t>https://mcp.opencaselaw.ch/entscheid/vd_gerichte_AP18.008356</w:t>
      </w:r>
    </w:p>
    <w:p>
      <w:r>
        <w:t>FR: VD_GERICHTE AP18.008356 du 28 mai 2018</w:t>
      </w:r>
    </w:p>
    <w:p>
      <w:r>
        <w:t>IT: VD_GERICHTE AP18.008356 del 28 maggio 2018</w:t>
      </w:r>
    </w:p>
    <w:p>
      <w:pPr>
        <w:pStyle w:val="Heading2"/>
      </w:pPr>
      <w:r>
        <w:t>Erwägungen</w:t>
      </w:r>
    </w:p>
    <w:p>
      <w:r>
        <w:rPr>
          <w:b/>
        </w:rPr>
        <w:t>E. 1</w:t>
      </w:r>
    </w:p>
    <w:p>
      <w:r>
        <w:t>Aux termes de l'art. 38 al. 1 LEP (Loi sur l’exécution des condamnations pénales du 4 juillet 2006 ; RSV 340.01), les décisions rendues par l’Office d’exécution des peines peuvent faire l'objet d'un recours auprès de la Chambre des recours pénale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Interjeté dans le délai légal auprès de l’autorité compétente par P.________ qui, détenu, a qualité pour recourir (art. 382 al. 1 CPP), le recours est recevable.</w:t>
      </w:r>
    </w:p>
    <w:p>
      <w:r>
        <w:rPr>
          <w:b/>
        </w:rPr>
        <w:t>E. 2.1</w:t>
      </w:r>
    </w:p>
    <w:p>
      <w:r>
        <w:t>En vertu de l’art. 84 al. 6 CP (Code pénal suisse du 21 décembre 1937;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La réglementation de détail concernant les autorisations de sortie est du ressort des cantons, qui sont compétents pour fixer la nature et la durée du congé, ainsi que pour concrétiser les conditions posées par le droit fédéral (Dupuis et alii, op. cit., n. 19 ad art. 84 CP ; TF 6B_774/2011</w:t>
      </w:r>
    </w:p>
    <w:p>
      <w:r>
        <w:t>- 4 - du 3 avril 2012 consid. 1). Dans le canton de Vaud, le règlement sur le statut des personnes condamnées exécutant une peine privative de liberté ou une mesure du 16 août 2017 (RSPC; RSV 340.01.1) est entré en vigueur le 1er janvier 2018. Il renvoie, à son art. 92, au RASAdultes (Règlement concernant l’octroi d’autorisations de sortie aux personnes condamnées adultes et jeunes adultes du 31 octobre 2013; RSV 340.93.1) s’agissant des autorisations de sortie. Le RASAdultes définit les conditions auxquelles est soumis l’octroi d’une autorisation de sortie par les autorités compétentes. Selon l’art. 2 al. 1 RASAdultes, l’autorisation de sortie ne doit pas enlever à la condamnation ses caractères de prévention, ni nuire à la sécurité ou mettre en danger la collectivité. Selon l’art. 3 RASAdultes, les autorisations de sortie peuvent consister en un congé, qui est un des moyens dont dispose l’autorité compétente pour permettre à la personne détenue d’entretenir des relations avec le monde extérieur et de préparer sa libération et qui doit être prévu dans le plan d’exécution de la sanction pénale (let. a).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 d’infractions (art. 75 al. 1 CP). Ils servent notamment à entretenir des relations avec le monde extérieur (let. a), à s’occuper d’affaires personnelles, professionnelles ou judiciaires qui ne peuvent être déférées et pour lesquelles la présence de la personne détenue hors de l’établissement est indispensable (let. b), à s’occuper d’affaires personnelles, vitales et légales, qui ne peuvent être déférées et pour lesquelles la présence de la personne détenue hors de l’établissement est indispensable (let. c) et à maintenir le lien avec le monde extérieur et à structurer une exécution de longue durée (let. d).</w:t>
      </w:r>
    </w:p>
    <w:p>
      <w:r>
        <w:t>- 5 - Selon l’art. 10 al. 4 RASAdultes, l’autorité compétente fixe les conditions de cas en cas pour l’autorisation de sortie. Quant à l’art. 11 al. 3, il prévoit que la durée des deux premiers congés est de 24 heures. Selon l’art. 11 al. 2, les congés peuvent être fractionnés pour des raisons particulières.</w:t>
      </w:r>
    </w:p>
    <w:p>
      <w:r>
        <w:rPr>
          <w:b/>
        </w:rPr>
        <w:t>E. 2.2</w:t>
      </w:r>
    </w:p>
    <w:p>
      <w:r>
        <w:t>En l’espèce, il ressort de l’ordonnance pénale du 22 novembre 2017 que le recourant a été condamné à diverses reprises, principalement pour infraction et contravention à la LStup. Le fait de passer la soirée avec des amis puis la nuit chez l’un d’eux dans la région de Lausanne pourrait exposer l’intéressé à toutes sortes de tentations et l’amener à consommer de nouveau des produits stupéfiants. Dans ces circonstances, l’octroi d’un congé fractionné de deux fois douze heures en journée paraît opportun, en ce sens qu’il doit permettre au recourant de faire ses preuves. Si le recourant démontre, lors de ce premier congé, qu’il est capable de renoncer à l’alcool et aux produits stupéfiants, le second congé pourra le cas échéant lui être octroyé pour une durée de vingt-quatre heures consécutives. Enfin, malgré la durée du trajet en transports publics entre Sugiez et Lausanne (un peu moins de deux heures), le recourant dispose encore d’un peu plus de huit heures pour passer du temps avec ses proches à Lausanne, ce qui est suffisant. Compte tenu de ce qui précède, la décision litigieuse est bien fondée.</w:t>
      </w:r>
    </w:p>
    <w:p>
      <w:r>
        <w:rPr>
          <w:b/>
        </w:rPr>
        <w:t>E. 3</w:t>
      </w:r>
    </w:p>
    <w:p>
      <w:r>
        <w:t>En définitive, le recours doit être rejeté et la décision du 20 avril 2018 confirmée. Les frais de la procédure de recours, constitués en l’espèce de l’émolument d'arrêt, par 550 fr. (art. 20 al. 1 TFIP [tarif des frais de procédure et indemnités en matière pénale du 28 septembre 2010; RSV 312.03.1]), seront mis à la charge du recourant, qui succombe (art. 428 al. 1 CPP).</w:t>
      </w:r>
    </w:p>
    <w:p>
      <w:r>
        <w:t>- 6 - Par ces motifs, la Chambre des recours pénale prononce : I. Le recours est rejeté. II. La décision du 20 avril 2018 est confirmée. III. Les frais d’arrêt, par 550 fr. (cinq cent cinquante francs), sont mis à la charge de P.________. IV. L’arrêt est exécutoire. Le président : Le greffier : Du Le présent arrêt, dont la rédaction a été approuvée à huis clos, est notifié, par l'envoi d'une copie complète, à : - M. P.________, - Ministère public central, et communiqué à : - Office d’exécution des peines (réf. : [...]), - Etablissements de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