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AP18.001797 vom 29. März 2018</w:t>
      </w:r>
    </w:p>
    <w:p>
      <w:r>
        <w:t>VD Tribunal cantonal, 2018-03-29, FR</w:t>
      </w:r>
    </w:p>
    <w:p>
      <w:r>
        <w:rPr>
          <w:b/>
        </w:rPr>
        <w:t xml:space="preserve">Quelle: </w:t>
      </w:r>
      <w:r>
        <w:t>https://mcp.opencaselaw.ch/entscheid/vd_gerichte_AP18.001797</w:t>
      </w:r>
    </w:p>
    <w:p>
      <w:r>
        <w:t>FR: VD_GERICHTE AP18.001797 du 29 mars 2018</w:t>
      </w:r>
    </w:p>
    <w:p>
      <w:r>
        <w:t>IT: VD_GERICHTE AP18.001797 del 29 marzo 2018</w:t>
      </w:r>
    </w:p>
    <w:p>
      <w:pPr>
        <w:pStyle w:val="Heading2"/>
      </w:pPr>
      <w:r>
        <w:t>Erwägungen</w:t>
      </w:r>
    </w:p>
    <w:p>
      <w:r>
        <w:rPr>
          <w:b/>
        </w:rPr>
        <w:t>E. 1.1</w:t>
      </w:r>
    </w:p>
    <w:p>
      <w:r>
        <w:t>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Selon l’art. 38 LEP, les décisions rendues par le juge d'application des peines et par le collège des juges d'application des peines peuvent faire l'objet d'un recours auprès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 à la Chambre des recours pénale du Tribunal cantonal (art. 13 LVCPP [loi d’introduction du code de procédure pénale suisse du 19 mai 2009 ; RSV 312.01] ; art. 80 LOJV [loi d'organisation judiciaire du 12 septembre 1979 ; RSV 173.01]).</w:t>
      </w:r>
    </w:p>
    <w:p>
      <w:r>
        <w:t>- 8 -</w:t>
      </w:r>
    </w:p>
    <w:p>
      <w:r>
        <w:rPr>
          <w:b/>
        </w:rPr>
        <w:t>E. 1.2</w:t>
      </w:r>
    </w:p>
    <w:p>
      <w:r>
        <w:t>En l’espèce, interjeté en temps utile devant l’autorité compétente par le condamné qui a qualité pour recourir (art. 382 al. 1 CPP) et dans les formes prescrites (art. 385 al. 1 CPP), le recours est recevable.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 CREP 7 octobre 2016/670 consid. 2.1).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consid. 2.3 ; ATF 133 IV 201 consid. 2.3 ; Maire, La libération conditionnelle, in : Nouvelle partie générale du Code pénal suisse, Berne 2006, p. 361 et les réf. citées). Tout pronostic constitue une prévision au sujet de laquelle on ne peut exiger une certitude absolue ; il faut donc se contenter d'une certaine probabilité, un risque de récidive ne pouvant être complètement exclu (Maire, op. cit.,</w:t>
      </w:r>
    </w:p>
    <w:p>
      <w:r>
        <w:t>- 9 - pp. 361-362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31 octobre 2017/738 consid. 2.1).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consid. 2.3).</w:t>
      </w:r>
    </w:p>
    <w:p>
      <w:r>
        <w:rPr>
          <w:b/>
        </w:rPr>
        <w:t>E. 2.2</w:t>
      </w:r>
    </w:p>
    <w:p>
      <w:r>
        <w:t>En l'espèce, le recourant a purgé les deux tiers de sa peine le 11 octobre 2017 et son comportement en détention peut être considéré comme globalement satisfaisant, de sorte que les deux premières conditions de l'art. 86 al. 1 CP sont réalisées. Quant à la troisième condition nécessaire à la libération conditionnelle, on ne peut que confirmer le pronostic défavorable posé par le premier juge. En effet, le recourant nie toujours la quasi intégralité des faits, reconnaissant uniquement ce qu’il n’est pas en mesure de contester. Il ne cesse de minimiser son comportement et ne démontre ainsi aucun amendement ni remise en question, se disant victime d’un complot judiciaire. Les intervenants sont unanimes et ont préavisé défavorablement à sa libération conditionnelle. La Direction de la prison de la Croisée a précisé que le recourant tendait à se déresponsabiliser et</w:t>
      </w:r>
    </w:p>
    <w:p>
      <w:r>
        <w:t>- 10 - se positionnait en victime (P. 3/10). La Fondation vaudoise de probation a quant à elle relevé que l’intéressé ne démontrait aucune remise en question quant aux délits commis ou à son attitude, qu’il faisait preuve d’un manque de collaboration caractérisé et que rien ne laissait envisager un pronostic favorable pour la suite de son parcours hors récidive (P. 3/11). Enfin, l’OEP a mis en évidence la gravité des actes commis à de multiples reprises sur trois de ses anciennes compagnes, une récidive durant la procédure pénale, la gravité des troubles de la personnalité de l’intéressé, son anosognosie et la nature des infractions commises qui pourrait sérieusement compromettre la sécurité d’autrui (P. 3). Par ailleurs, dans son rapport du 30 juin 2016, l’expert a retenu un risque de récidive d’actes illicites de même nature que ceux pour lesquels le recourant a été condamné en lien avec son grave trouble mental se manifestant dans ses relations intimes et dans son rôle de père (P. 3/3). L’expert a ajouté que compte tenu de la pathologie du condamné, le potentiel de dangerosité dont il faisait preuve ne devait pas être banalisé. Certes, le recourant a produit deux rapports médicaux établis les 20 mars 2017 et 3 février 2018 du Dr H.________, lequel a conclu à l’absence de trouble psychiatrique et psychologique chez le recourant et de danger pour autrui (P. 3/6 et P. 7/5). Toutefois, ce psychiatre a été mandaté par le recourant lui-même, lequel est son patient, et n’a pas eu accès au dossier pénal. Il convient donc d’apprécier avec retenue l’avis de ce médecin. En outre, un traitement ambulatoire a été ordonné par l’OEP seulement le 24 janvier 2018. Au vu du court suivi opéré par le Service de médecine et psychiatrie pénitentiaire et en l’absence de tout document relatif à ce suivi, il convient de prendre toutes les précautions nécessaires au vu de l’importance des biens juridiques menacés. Enfin, comme le relève le premier juge, le recourant n’est plus autorisé à séjourner en Suisse et devra quitter notre pays dès sa libération, de sorte qu’il ne sera pas possible de vérifier le respect par le recourant en France d’éventuelles règles de conduite accompagnant une libération conditionnelle.</w:t>
      </w:r>
    </w:p>
    <w:p>
      <w:r>
        <w:t>- 11 - Force est ainsi de constater que le pronostic quant au comportement futur du recourant s'avère défavorable. Le solde de peine à exécuter en cas de réintégration ne saurait selon toute vraisemblance exercer un effet suffisamment dissuasif sur ce condamné. Partant, c’est à juste titre que le premier juge lui a refusé la libération conditionnelle.</w:t>
      </w:r>
    </w:p>
    <w:p>
      <w:r>
        <w:rPr>
          <w:b/>
        </w:rPr>
        <w:t>E. 3</w:t>
      </w:r>
    </w:p>
    <w:p>
      <w:r>
        <w:t>Il résulte de ce qui précède que le recours doit être rejeté et l’ordonnance attaquée confirmée.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fixés à 566 fr. 20 (3 heures à 180 fr. + 16 fr. 20 de débours), plus la TVA par 42 fr. 80, ce qui correspond à la liste des opérations produite par Me Brechbühl (cf. P. 13/3), soit à un total de 599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février 2018 est confirmée. III. L’indemnité allouée au défenseur d’office de A.________ est fixée à 599 fr. (cinq cent nonante-neuf francs).</w:t>
      </w:r>
    </w:p>
    <w:p>
      <w:r>
        <w:t>- 12 - IV. Les frais d’arrêt, par 1’100 fr. (mille cent francs), ainsi que l’indemnité due au défenseur d’office de A.________, par 599 fr. (cinq cent nonante-neuf francs), sont mis à la charge de ce dernier. V. Le remboursement à l'Etat de l'indemnité allouée au chiffre III ci-dessus ne sera exigible que pour autant que la situation économique de A.________ se soit améliorée. VI. L’arrêt est exécutoire. Le président : La greffière : Du Le présent arrêt, dont la rédaction a été approuvée à huis clos, est notifié, par l'envoi d'une copie complète, à : - Me Martin Brechbühl, avocat (pour A.________), - Ministère public central, et communiqué à : - M. le Juge d’application des peines, - M. le Procureur de l’arrondissement de La Côte, - Office d’exécution des peines (réf : [...]), - Direction de la prison de la Croisée, - Service de la population,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