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AP17.019714 vom 21. Dezember 2017</w:t>
      </w:r>
    </w:p>
    <w:p>
      <w:r>
        <w:t>VD Tribunal cantonal, 2017-12-21, FR</w:t>
      </w:r>
    </w:p>
    <w:p>
      <w:r>
        <w:rPr>
          <w:b/>
        </w:rPr>
        <w:t xml:space="preserve">Quelle: </w:t>
      </w:r>
      <w:r>
        <w:t>https://mcp.opencaselaw.ch/entscheid/vd_gerichte_AP17.019714</w:t>
      </w:r>
    </w:p>
    <w:p>
      <w:r>
        <w:t>FR: VD_GERICHTE AP17.019714 du 21 décembre 2017</w:t>
      </w:r>
    </w:p>
    <w:p>
      <w:r>
        <w:t>IT: VD_GERICHTE AP17.019714 del 21 dicembre 2017</w:t>
      </w:r>
    </w:p>
    <w:p>
      <w:pPr>
        <w:pStyle w:val="Heading2"/>
      </w:pPr>
      <w:r>
        <w:t>Erwägungen</w:t>
      </w:r>
    </w:p>
    <w:p>
      <w:r>
        <w:rPr>
          <w:b/>
        </w:rPr>
        <w:t>E. 1.1</w:t>
      </w:r>
    </w:p>
    <w:p>
      <w:r>
        <w:t>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Selon l’art. 38 LEP, les décisions rendues par le juge d'application des peines et par le collège des juges d'application des peines peuvent faire l'objet d'un recours auprès du Tribunal cantonal (al. 1). La procédure est régie par les dispositions du CPP (Code de procédure pénale suisse du 5 octobre 2007 ; RS 312.0) relatives au recours (al. 2). Le recours doit ainsi être adressé par écrit, dans un délai de dix jours dès la</w:t>
      </w:r>
    </w:p>
    <w:p>
      <w:r>
        <w:t>- 7 - notification de la décision attaquée (art. 384 let. b et 396 al. 1 CPP), à la Chambre des recours pénale du Tribunal cantonal (art. 13 LVCPP [loi d’introduction du code de procédure pénale suisse du 19 mai 2009 ; RSV 312.01] ; art. 80 LOJV [loi d'organisation judiciaire du 12 septembre 1979 ; RSV 173.01]).</w:t>
      </w:r>
    </w:p>
    <w:p>
      <w:r>
        <w:rPr>
          <w:b/>
        </w:rPr>
        <w:t>E. 1.2</w:t>
      </w:r>
    </w:p>
    <w:p>
      <w:r>
        <w:t>En l’espèce, interjeté en temps utile devant l’autorité compétente par le condamné qui a qualité pour recourir (art. 382 al. 1 CPP) et dans les formes prescrites (art. 385 al. 1 CPP), le recours est recevable.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 CREP 7 octobre 2016/670 consid. 2.1).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w:t>
      </w:r>
    </w:p>
    <w:p>
      <w:r>
        <w:t>- 8 - amendement ainsi que les conditions dans lesquelles il est à prévoir qu'il vivra (TF 6B_521/2011 du 12 septembre 2011 consid. 2.3 ; ATF 133 IV 201 consid. 2.3 ; Maire, La libération conditionnelle, in : Nouvelle partie générale du Code pénal suisse, Berne 2006, p. 361 et les réf. citées). Tout pronostic constitue une prévision au sujet de laquelle on ne peut exiger une certitude absolue ; il faut donc se contenter d'une certaine probabilité, un risque de récidive ne pouvant être complètement exclu (Maire, op. cit., pp. 361-362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consid. 2.3).</w:t>
      </w:r>
    </w:p>
    <w:p>
      <w:r>
        <w:rPr>
          <w:b/>
        </w:rPr>
        <w:t>E. 2.2</w:t>
      </w:r>
    </w:p>
    <w:p>
      <w:r>
        <w:t>En l'espèce, le recourant a purgé les deux tiers de sa peine le</w:t>
      </w:r>
    </w:p>
    <w:p>
      <w:r>
        <w:rPr>
          <w:b/>
        </w:rPr>
        <w:t>E. 5</w:t>
      </w:r>
    </w:p>
    <w:p>
      <w:r>
        <w:t>décembre 2017 et son comportement en détention peut être considéré comme globalement satisfaisant, de sorte que les deux premières conditions de l'art. 86 al. 1 CP sont réalisées. Quant à la troisième condition nécessaire à la libération conditionnelle, on ne peut que confirmer le pronostic défavorable retenu</w:t>
      </w:r>
    </w:p>
    <w:p>
      <w:r>
        <w:t>- 9 - par le premier juge. En effet, les antécédents d’I.________ sont mauvais, l’intéressé étant installé dans la délinquance. Il y a eu six condamnations en France, une en Suisse et d’autres à l’étranger. Entre 1995 et 1997, il a subi des peines privatives de liberté de 6 mois, 1 an et 9 mois. En 2010, il avait passé 318 jours en détention préventive. Ces circonstances ne paraissent pas avoir exercé sur lui l’effet dissuasif escompté. A cela s’ajoute que son comportement en détention est loin d’être exemplaire. Certes, il affirme qu’il disposera d’un soutien familial et de la possibilité de trouver facilement un emploi à sa sortie de prison. Il est toutefois difficile d'accorder beaucoup de crédit aux déclarations de l'intéressé. En effet, il prétend vouloir travailler dans un salon de coiffure et de beauté pour gagner l’argent nécessaire à l’achat d’un garage et pour pouvoir se consacrer au commerce de voitures. Non seulement ce projet de réinsertion apparaît peu crédible en soi, mais il est contredit pas l’affirmation du recourant selon laquelle il serait sérieusement malade et sa capacité à travailler notoirement réduite. Force est ainsi de constater que le pronostic quant au comportement futur du recourant s'avère résolument défavorable et que le risque qu’il commette à nouveau des infractions à sa sortie est élevé. Le solde de peine à exécuter en cas de réintégration ne saurait selon toute vraisemblance exercer un effet suffisamment dissuasif sur ce condamné multirécidiviste. Partant, la libération conditionnelle doit lui être refusée. 3. Il résulte de ce qui précède que le recours doit être rejeté et l’ordonnance attaquée confirmée. Les frais de la procédure de recours, constitués en l'espèce de l'émolument d'arrêt (art. 422 al. 1 CPP), par 990 fr. (art. 20 al. 1 TFIP [Tarif des frais de procédure et indemnités en matière pénale du 28 septembre 2010 ; RSV 312.03.1]), et des frais imputables à la défense d'office (art.</w:t>
      </w:r>
    </w:p>
    <w:p>
      <w:r>
        <w:t>- 10 - 422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5 décembre 2017 est confirmée. III. L’indemnité allouée au défenseur d’office d’I.________ est fixée à 583 fr. 20 (cinq cent huitante-trois francs et vingt centimes). IV. Les frais d’arrêt, par 990 fr. (neuf cent nonante francs), ainsi que l’indemnité due au défenseur d’office d’I.________, par 583 fr. 20 (cinq cent huitante-trois francs et vingt centimes), sont mis à la charge de ce dernier. V. Le remboursement à l'Etat de l'indemnité allouée au chiffre III ci-dessus ne sera exigible que pour autant que la situation économique d’I.________ se soit améliorée. VI. L’arrêt est exécutoire. Le président : La greffière : Du Le présent arrêt, dont la rédaction a été approuvée à huis clos, est notifié, par l'envoi d'une copie complète, à : - Me David Moinat, avocat (pour I.________), - Ministère public central ;</w:t>
      </w:r>
    </w:p>
    <w:p>
      <w:r>
        <w:t>- 11 - et communiqué à : - Mme la Juge d’application des peines, - M. le Procureur de l’arrondissement de Lausanne, - Office d’exécution des peines (réf. : OEP/PPL/145662/VRI/MBD), -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