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AP17.003216 vom 2. März 2017</w:t>
      </w:r>
    </w:p>
    <w:p>
      <w:r>
        <w:t>VD Tribunal cantonal, 2017-03-02, FR</w:t>
      </w:r>
    </w:p>
    <w:p>
      <w:r>
        <w:rPr>
          <w:b/>
        </w:rPr>
        <w:t xml:space="preserve">Quelle: </w:t>
      </w:r>
      <w:r>
        <w:t>https://mcp.opencaselaw.ch/entscheid/vd_gerichte_AP17.003216</w:t>
      </w:r>
    </w:p>
    <w:p>
      <w:r>
        <w:t>FR: VD_GERICHTE AP17.003216 du 2 mars 2017</w:t>
      </w:r>
    </w:p>
    <w:p>
      <w:r>
        <w:t>IT: VD_GERICHTE AP17.003216 del 2 marzo 2017</w:t>
      </w:r>
    </w:p>
    <w:p>
      <w:pPr>
        <w:pStyle w:val="Heading2"/>
      </w:pPr>
      <w:r>
        <w:t>Erwägungen</w:t>
      </w:r>
    </w:p>
    <w:p>
      <w:r>
        <w:rPr>
          <w:b/>
        </w:rPr>
        <w:t>E. 1.1</w:t>
      </w:r>
    </w:p>
    <w:p>
      <w:r>
        <w:t>L’art. 76 al. 1 CP prévoit que les peines privatives de liberté sont exécutées dans un établissement fermé ou ouvert. Le choix du lieu d'exécution constitue une modalité d'exécution de la sanction, qui relève de la compétence de l'autorité d'exécution (TF 6B_629/2009 du 21 décembre 2009 consid. 1.2.3). Conformément à l'art. 19 al. 1 let. c LEP (loi sur l'exécution des condamnations pénales du 4 juillet 2006 ; RSV 340.01), c’est, dans le canton de Vaud, l’OEP qui est compétent pour mandater l'établissement dans lequel le condamné sera placé, la conformité de cette norme au droit fédéral étant d’ailleurs admise par la jurisprudence fédérale (TF 6B_629/2009 précité consid. 1.3.1).</w:t>
      </w:r>
    </w:p>
    <w:p>
      <w:r>
        <w:rPr>
          <w:b/>
        </w:rPr>
        <w:t>E. 1.2</w:t>
      </w:r>
    </w:p>
    <w:p>
      <w:r>
        <w:t>Aux termes de l’art. 38 al. 1 LEP, les décisions rendues par l'OEP peuvent faire l'objet d'un recours au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RSV 312.01] ; art. 80 LOJV [loi vaudoise d’organisation judiciaire, RSV 173.01] ; art. 26 al. 1 ROTC [règlement organique du Tribunal cantonal, RSV 173.31.1]). En l’espèce, le recours, qui a été interjeté en temps utile devant l’autorité compétente et qui satisfait aux conditions de forme posées par l’art. 385 al. 1 CPP, est recevable.</w:t>
      </w:r>
    </w:p>
    <w:p>
      <w:r>
        <w:rPr>
          <w:b/>
        </w:rPr>
        <w:t>E. 2.1</w:t>
      </w:r>
    </w:p>
    <w:p>
      <w:r>
        <w:t>K.________ demande son transfert dans un établissement ouvert. Il explique que son lieu d’incarcération actuel, fermé, ne lui permettrait pas de se former ou d’apprendre un métier.</w:t>
      </w:r>
    </w:p>
    <w:p>
      <w:r>
        <w:t>- 4 -</w:t>
      </w:r>
    </w:p>
    <w:p>
      <w:r>
        <w:rPr>
          <w:b/>
        </w:rPr>
        <w:t>E. 2.2</w:t>
      </w:r>
    </w:p>
    <w:p>
      <w:r>
        <w:t>Selon l’art. 75 al. 4 CP (Code pénal suisse du 21 décembre 1937; RS 311.0), le détenu doit participer activement aux efforts de resocialisation mis en œuvre et à la préparation de sa libération. Aux termes de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6B_1045/2013 du 14 avril 2014 consid. 2.1.1 et les références citées applicable par analogie; CREP 20 octobre 2015/671 consid. 3.1). Selon certains auteurs, le critère du danger de fuite a pour conséquence qu’un condamné étranger sans autorisation de séjour doit être placé dans un établissement fermé (Dupuis/Geller/Monnier/Moreillon/Piguet/Bettex/Stoll [éd.], Petit commentaire CP, Bâle 2012, n. 6 ad art. 76 CP) et ne pourrait donc être placé en milieu ouvert; par ailleurs, plus la durée de la peine à exécuter est longue, plus le risque de fuite doit être évalué à la hausse (ibid.).</w:t>
      </w:r>
    </w:p>
    <w:p>
      <w:r>
        <w:rPr>
          <w:b/>
        </w:rPr>
        <w:t>E. 2.3</w:t>
      </w:r>
    </w:p>
    <w:p>
      <w:r>
        <w:t>En l’occurrence, seule l’arrestation de K.________, lors de son entrée en Hongrie, le 5 août 2015, sur la base d’un mandat d’arrêt international, l’a contraint à se présenter face à la justice et à assumer les conséquences de ses actes. Il a ensuite été condamné par le Tribunal correctionnel de l’arrondissement de la Broye et du Nord vaudois pour brigandage, violation de domicile, entrée illégale et séjour illégal à une peine privative de liberté de 42 mois sous déduction de 294 jours de détention avant jugement et 9 jours à titre de réparation du tort moral pour détention dans des conditions illicites.</w:t>
      </w:r>
    </w:p>
    <w:p>
      <w:r>
        <w:t>- 5 - Le recourant ne conteste pas les éléments qui précèdent, auxquels s’ajoute une sanction disciplinaire prononcée le 8 février 2016 pour refus d’obtempérer. Il ne dispose d’aucun titre de séjour en Suisse et la fin de sa peine est prévue pour le 23 juin 2019, la libération conditionnelle étant possible à compter du 3 mars 2018. Le solde de peine restant à exécuter, de plus de deux ans encore, est donc long au sens de l’avis de doctrine cité ci-dessus, ce qui commande de la circonspection dans l’examen du risque de fuite. Certes, le recourant se dit disposé à se former et à apprendre un travail en établissement ouvert. Il n’en demeure pas moins que le risque de fuite est bien réel. En effet, K.________ explique qu’il est père de deux enfants et que cela engendre de grosses responsabilités; son épouse et leurs deux enfants nés en 2007 et en 2008 vivent en Serbie. Il suffira ainsi au condamné de rejoindre sa famille dans son pays, ce qui est aussi tentant que facile, ce d’autant qu’il ne dispose d’aucun titre de séjour en Suisse et ne peut pas espérer en obtenir un au vu de la décision de renvoi rendue le 7 septembre 2016 par le Service de la population. Enfin, il ne faut pas perdre de vue que K.________ n’a pas hésité à s’en prendre violemment au grand-père de son épouse, âgé de 77 ans, notamment pour régler des comptes et lui voler son argent. Il s’en est également violemment pris, selon un plan précis, à un livreur dans le but de le dépouiller. Ces éléments démontrent que non seulement K.________ n’hésite pas à utiliser la force pour arriver à ses fins, mais qu'il dispose en plus des facultés intellectuelles, physiques et psychiques nécessaires pour pouvoir établir un plan et le mener à bien. Au vu de ces circonstances, il faut considérer que le risque de fuite est patent. Il est ainsi superflu de trancher la question du risque de réitération, condition alternative au défaut de risque de fuite selon l’art. 76 al. 2 CP.</w:t>
      </w:r>
    </w:p>
    <w:p>
      <w:r>
        <w:rPr>
          <w:b/>
        </w:rPr>
        <w:t>E. 3</w:t>
      </w:r>
    </w:p>
    <w:p>
      <w:r>
        <w:t>En définitive, le recours doit être rejeté sans autre échange d’écritures (art. 390 al. 2 CPP) et la décision attaquée confirmée.</w:t>
      </w:r>
    </w:p>
    <w:p>
      <w:r>
        <w:t>- 6 - Les frais de la procédure de recours, constitués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de l’Office d’exécution des peines du 6 février 2017 est confirmée. III. Les frais de la procédure de recours, par 550 fr., sont mis à la charge de K.________. IV. L’arrêt est exécutoire. Le président : La greffière : Du Le présent arrêt, dont la rédaction a été approuvée à huis clos, est notifié, par l'envoi d'une copie complète, à : - M. K.________, - Ministère public central, et communiqué à : - Office d’exécution des peines (OEP/PPL/147470/IPE), - Direction de la prison de Horgen, - Service de la population ( [...]),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