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AP17.001179 vom 26. Januar 2017</w:t>
      </w:r>
    </w:p>
    <w:p>
      <w:r>
        <w:t>VD Tribunal cantonal, 2017-01-26, FR</w:t>
      </w:r>
    </w:p>
    <w:p>
      <w:r>
        <w:rPr>
          <w:b/>
        </w:rPr>
        <w:t xml:space="preserve">Quelle: </w:t>
      </w:r>
      <w:r>
        <w:t>https://mcp.opencaselaw.ch/entscheid/vd_gerichte_AP17.001179</w:t>
      </w:r>
    </w:p>
    <w:p>
      <w:r>
        <w:t>FR: VD_GERICHTE AP17.001179 du 26 janvier 2017</w:t>
      </w:r>
    </w:p>
    <w:p>
      <w:r>
        <w:t>IT: VD_GERICHTE AP17.001179 del 26 gennaio 2017</w:t>
      </w:r>
    </w:p>
    <w:p>
      <w:pPr>
        <w:pStyle w:val="Heading2"/>
      </w:pPr>
      <w:r>
        <w:t>Erwägungen</w:t>
      </w:r>
    </w:p>
    <w:p>
      <w:r>
        <w:rPr>
          <w:b/>
        </w:rPr>
        <w:t>E. 3</w:t>
      </w:r>
    </w:p>
    <w:p>
      <w:r>
        <w:t>Il résulte de ce qui précède que le recours doit être rejeté sans autre échange d’écritures (art. 390 al. 2 CPP) et la décision entreprise confirmée. Les frais de la procédure de recours, par 660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10 janvier 2017 est confirmée.</w:t>
      </w:r>
    </w:p>
    <w:p>
      <w:r>
        <w:t>- 7 - III. Les frais d'arrêt, par 660 fr. (six cent soixante francs), sont mis à la charge de X.________. IV. L’arrêt est exécutoire. Le président : La greffière : Du Le présent arrêt, dont la rédaction a été approuvée à huis clos, est notifié, par l'envoi d'une copie complète, à : - Me Olivier Freymond, avocat (pour X.________), - Ministère public central, et communiqué à : - Office d'exécution des peines, - Pénitencier de La Stampa,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