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AP17.000948 vom 13. April 2017</w:t>
      </w:r>
    </w:p>
    <w:p>
      <w:r>
        <w:t>VD Tribunal cantonal, 2017-04-13, FR</w:t>
      </w:r>
    </w:p>
    <w:p>
      <w:r>
        <w:rPr>
          <w:b/>
        </w:rPr>
        <w:t xml:space="preserve">Quelle: </w:t>
      </w:r>
      <w:r>
        <w:t>https://mcp.opencaselaw.ch/entscheid/vd_gerichte_AP17.000948</w:t>
      </w:r>
    </w:p>
    <w:p>
      <w:r>
        <w:t>FR: VD_GERICHTE AP17.000948 du 13 avril 2017</w:t>
      </w:r>
    </w:p>
    <w:p>
      <w:r>
        <w:t>IT: VD_GERICHTE AP17.000948 del 13 aprile 2017</w:t>
      </w:r>
    </w:p>
    <w:p>
      <w:pPr>
        <w:pStyle w:val="Heading2"/>
      </w:pPr>
      <w:r>
        <w:t>Erwägungen</w:t>
      </w:r>
    </w:p>
    <w:p>
      <w:r>
        <w:rPr>
          <w:b/>
        </w:rPr>
        <w:t>E. 1.1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w:t>
      </w:r>
    </w:p>
    <w:p>
      <w:r>
        <w:t>- 6 -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conteste le refus de la libération conditionnelle. Il reproche à la Juge d’application des peines d’avoir retenu qu’il n’avait pas fait preuve de remise en question et d’avoir passé sous silence ses déclarations lors de l’audience du 7 mars 2017, selon lesquelles « il voulait arrêter et changer de vie, notamment parce qu’il voulait pouvoir mener et rechercher sa fille à l’école ». Il soutient en outre que ses antécédents ne sauraient, à eux seuls, faire obstacle à la libération conditionnelle, dès lors qu’il était, à l’époque, relativement jeune et n’avait pas de charges de famille.</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w:t>
      </w:r>
    </w:p>
    <w:p>
      <w:r>
        <w:t>- 7 -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 TF 6A.71/2004 du 29 novembre 2004 consid.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w:t>
      </w:r>
    </w:p>
    <w:p>
      <w:r>
        <w:t>- 8 - être pris en considération dans l'établissement du pronostic (ATF 119 IV 5 consid. 1a/bb ; CREP 13 mai 2015/327 ; CREP 28 janvier 2015/66). S’agissant du pronostic requis, celui-ci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t>- 9 -</w:t>
      </w:r>
    </w:p>
    <w:p>
      <w:r>
        <w:rPr>
          <w:b/>
        </w:rPr>
        <w:t>E. 2.3</w:t>
      </w:r>
    </w:p>
    <w:p>
      <w:r>
        <w:t>En l’espèce, la condition objective des deux tiers de la peine prévue par l’art. 86 al. 1 CP est réalisée depuis le 7 avril 2017. Hormis une sanction disciplinaire pour avoir commis des violences envers un codétenu, le préavis de la direction de la prison de Champ-Dollon, quand bien même il est défavorable à la libération conditionnelle, ne fait pas état d’un mauvais comportement de Z.________ en détention. La condition du bon comportement en détention peut toutefois être laissée ouverte, au vu de ce qui suit.</w:t>
      </w:r>
    </w:p>
    <w:p>
      <w:r>
        <w:rPr>
          <w:b/>
        </w:rPr>
        <w:t>E. 2.4</w:t>
      </w:r>
    </w:p>
    <w:p>
      <w:r>
        <w:t>A l’instar de la Juge d’application des peines, force est de constater que le pronostic concernant le comportement futur du condamné est manifestement défavorable. En effet, celui-ci a treize antécédents en France pour des délits graves, notamment pour des infractions de violence et contre le patrimoine. Malgré ces condamnations, pour l’essentiel à des peines d’emprisonnement, fermes ou avec sursis et allant d’un mois à cinq ans, Z.________ n’a pas hésité à se rendre en Suisse pour commettre pas moins de vingt-et-un vols au préjudice de personnes vulnérables. C’est dire si, comme l’a mentionné l’autorité précédente, le condamné fait peu de cas des décisions de justice rendues contre lui. Un tel comportement démontre, quoi qu’il en dise, un manque de prise de conscience évident et une remise en question inexistante. En outre, les projets d’avenir de l’intéressé ne sont pas concrets. En effet, la promesse d’embauche qu’il a produite devant la Juge d’application des peines n’offre aucune garantie. Quant à celle qu’il aurait produite à l’appui de son recours, elle ne figure pas en annexe de celui-ci. De toute manière, cet élément n’est pas déterminant au vu du risque concret de récidive. Pour le reste, les déclarations du condamné, selon lesquelles il souhaite se réinsérer ainsi que retrouver sa famille, et regrette les actes qu’il a commis et pense à ses victimes, ne sont pas de nature à contrebalancer le pronostic défavorable qui doit être posé. Partant, c’est à juste titre que la Juge d’application des peines a refusé la libération conditionnelle à Z.________.</w:t>
      </w:r>
    </w:p>
    <w:p>
      <w:r>
        <w:t>- 10 -</w:t>
      </w:r>
    </w:p>
    <w:p>
      <w:r>
        <w:rPr>
          <w:b/>
        </w:rPr>
        <w:t>E. 3</w:t>
      </w:r>
    </w:p>
    <w:p>
      <w:r>
        <w:t>Il résulte de ce qui précède que le recours, manifestement mal fondé, doit être rejeté sans échange d’écritures (art. 390 al. 2 CPP) et l’ordonnance du 29 mars 2017 confirmée.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29 mars 2017 est confirmée. III. L’indemnité allouée au défenseur d’office de Z.________ est fixée à 583 fr. 20 (cinq cent huitante-trois francs et vingt centimes). IV. Les frais d’arrêt, par 990 fr. (neuf cent nonante francs), ainsi que l’indemnité due au défenseur d’office de Z.________, par 583 fr. 20 (cinq cent huitante-trois francs et vingt centimes), sont mis à la charge de ce dernier. V. Le remboursement à l’Etat de l’indemnité allouée au chiffre III ci-dessus ne sera exigible que pour autant que la situation économique de Z.________ le permette.</w:t>
      </w:r>
    </w:p>
    <w:p>
      <w:r>
        <w:t>- 11 - VI. L’arrêt est exécutoire. Le vice-président : Le greffier : Du Le présent arrêt, dont la rédaction a été approuvée à huis clos, est notifié, par l'envoi d'une copie complète, à : - Me Laurent Gilliard, avocat (pour Z.________), - Ministère public central, et communiqué à : - Mme la Juge d’application des peines, - Mme la Procureure de l’arrondissement de Lausanne, - Office d’exécution des peines (OEP/PPL/ [...]), - Direction de la prison de Champ Dollon, - Service de la population, secteur étrangers (Z.________, [...] 1983),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- 12 -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