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AP16.023896 vom 10. Januar 2017</w:t>
      </w:r>
    </w:p>
    <w:p>
      <w:r>
        <w:t>VD Tribunal cantonal, 2017-01-10, FR</w:t>
      </w:r>
    </w:p>
    <w:p>
      <w:r>
        <w:rPr>
          <w:b/>
        </w:rPr>
        <w:t xml:space="preserve">Quelle: </w:t>
      </w:r>
      <w:r>
        <w:t>https://mcp.opencaselaw.ch/entscheid/vd_gerichte_AP16.023896</w:t>
      </w:r>
    </w:p>
    <w:p>
      <w:r>
        <w:t>FR: VD_GERICHTE AP16.023896 du 10 janvier 2017</w:t>
      </w:r>
    </w:p>
    <w:p>
      <w:r>
        <w:t>IT: VD_GERICHTE AP16.023896 del 10 gennaio 2017</w:t>
      </w:r>
    </w:p>
    <w:p>
      <w:pPr>
        <w:pStyle w:val="Heading2"/>
      </w:pPr>
      <w:r>
        <w:t>Erwägungen</w:t>
      </w:r>
    </w:p>
    <w:p>
      <w:r>
        <w:rPr>
          <w:b/>
        </w:rPr>
        <w:t>E. 3.1</w:t>
      </w:r>
    </w:p>
    <w:p>
      <w:r>
        <w:t>Le recourant se plaint d'une violation du droit dans l'application de l'art. 74 CP à l'aune des art. 13 Cst (Constitution fédérale de la Confédération suisse ; RS 101) et 8 CEDH (Convention de sauvegarde des droits de l'homme et des libertés fondamentales ; RS 0.101). Il fait valoir que son exécution de peine dans un établissement carcéral suisse-alémanique le priverait de son droit à entretenir des relations familiales dès lors que les visites de ses proches seraient moins nombreuses au vu de l'éloignement géographique et du coût des déplacements. Il invoque également que la barrière de la langue est une source de stress supplémentaire qui justifie que l’on apporte une importance accrue à ses droits fondamentaux, à la protection de sa personnalité et de sa dignité dans son ensemble. Enfin, il fait valoir l’inopportunité de la décision.</w:t>
      </w:r>
    </w:p>
    <w:p>
      <w:r>
        <w:t>- 6 -</w:t>
      </w:r>
    </w:p>
    <w:p>
      <w:r>
        <w:rPr>
          <w:b/>
        </w:rPr>
        <w:t>E. 3.2.1</w:t>
      </w:r>
    </w:p>
    <w:p>
      <w:r>
        <w:t>Selon l'art. 76 al. 1 CP, les peines privatives de liberté sont exécutées dans un établissement fermé ou ouvert. Le détenu est placé dans un établissement fermé ou dans la section fermée d'un établissement ouvert s'il y a lieu de craindre qu'il ne s'enfuie ou ne commette de nouvelles infractions (art. 76 al. 2 CP).</w:t>
      </w:r>
    </w:p>
    <w:p>
      <w:r>
        <w:rPr>
          <w:b/>
        </w:rPr>
        <w:t>E. 3.2.2</w:t>
      </w:r>
    </w:p>
    <w:p>
      <w:r>
        <w:t>En vertu de l'art. 74 CP, le détenu et la personne exécutant une mesure ont droit au respect de leur dignité. L'exercice de leurs droits ne peut être restreint que dans la mesure requise par la privation de liberté et par les exigences de la vie collective dans l'établissement. L'art. 74 CP introduit ainsi deux principes généraux régissant l'exécution des peines et des mesures que les autorités d'exécution et les établissements d'exécution sont tenus d'observer, à savoir le droit au respect de la dignité humaine et le respect du principe de la proportionnalité. Le premier principe implique notamment, concernant les détenus, le respect des conditions minimales de détention. Le deuxième principe s'impose lorsque s'il s'agit de limiter les droits du détenu et de la personne exécutant une mesure. Certaines restrictions à la liberté personnelle sont toutefois nécessaires, parce qu'elles sont inhérentes à la privation de liberté, telle que la limitation des contacts, soit encore pour organiser la vie en communauté (observation de règles de vie pour le respect des codétenus). Une pesée des intérêts doit ainsi être faite entre la sauvegarde des droits du détenu et ceux des tiers (Dupuis et al., Petit commentaire du Code pénal, Bâle 2012, n. 1 ss ad art. 74 CP).</w:t>
      </w:r>
    </w:p>
    <w:p>
      <w:r>
        <w:rPr>
          <w:b/>
        </w:rPr>
        <w:t>E. 3.2.3</w:t>
      </w:r>
    </w:p>
    <w:p>
      <w:r>
        <w:t>L'art. 13 al. 1 Cst prévoit que toute personne a droit au respect de sa vie privée et familiale, de son domicile, de sa correspondance et des relations qu'elle établit par la poste et les télécommunications. Selon l'art. 8 § 1 CEDH, toute personne a droit au respect de sa vie privée et familiale, de son domicile et de sa correspondance. Il ne peut y avoir ingérence d'une autorité publique dans l'exercice de ce droit que pour autant que cette ingérence est prévue par la loi et qu'elle constitue</w:t>
      </w:r>
    </w:p>
    <w:p>
      <w:r>
        <w:t>- 7 -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 2). Sous l'angle de la protection de la sphère privée et familiale, la CEDH ne garantit pas aux détenus le droit de choisir leur lieu de détention. La séparation et l'éloignement du détenu de sa famille constituent des conséquences inévitables de la détention. Ce n'est que dans des conditions exceptionnelles que le fait de détenir une personne dans une prison éloignée de sa famille à tel point que toute visite se révèle très difficile, voire impossible, peut constituer une ingérence dans la vie familiale du détenu (TF 6B_80/2014 du 20 mars 2014 et les arrêts cités, CREP 30 octobre 2015/702).</w:t>
      </w:r>
    </w:p>
    <w:p>
      <w:r>
        <w:rPr>
          <w:b/>
        </w:rPr>
        <w:t>E. 3.3</w:t>
      </w:r>
    </w:p>
    <w:p>
      <w:r>
        <w:t>En l’espèce, même si les visites de la famille de Z.________ sont moins fréquentes en raison des contraintes géographiques, elles ne sont pas pour autant impossibles. Comme l’a relevé le Tribunal fédéral, la limitation des contacts familiaux est une conséquence inhérente à la détention, et celle subie en Suisse alémanique par le recourant n’est pas de nature à constituer une ingérence inadmissible dans sa vie familiale. Par ailleurs, malgré les difficultés liées à sa méconnaissance de l’allemand, il apparait que le recourant est en mesure de communiquer avec le service médical et que ses besoins fondamentaux sont réalisés. Partant, la décision de l’Office d’exécution des peines ne viole pas les dispositions invoquées par le recourant. Sous l’angle de l’opportunité elle ne prête pas non plus le flanc à la critique dans la mesure où le motif sécuritaire invoqué par l’OEP justifiait que le recourant soit transféré. Néanmoins, afin de faciliter le contact du recourant avec sa famille et les intervenants, il serait judicieux que l’OEP envisage le retour en Suisse romande de Z.________ dès que les disponibilités carcérales le permettront.</w:t>
      </w:r>
    </w:p>
    <w:p>
      <w:r>
        <w:rPr>
          <w:b/>
        </w:rPr>
        <w:t>E. 4</w:t>
      </w:r>
    </w:p>
    <w:p>
      <w:r>
        <w:t>En définitive, le recours doit être rejeté et la décision attaquée confirmée.</w:t>
      </w:r>
    </w:p>
    <w:p>
      <w:r>
        <w:t>- 8 - Les frais de la procédure de recours, constitués du seul émolument d’arrêt, par 770 fr. (art. 20 al. 1 TFIP [tarif des frais judiciaires de procédure et indemnités en matière pénale du 28 septembre 2010 ; RSV 312.03.1]), seront mis à la charge du recourant, qui succombe (art. 428 al. 1 CPP). Par ces motifs, la Chambre des recours pénale prononce : I. Le recours est rejeté. II. La décision du 17 novembre 2016 est confirmée. III. Les frais de la procédure de recours, par 770 fr. (sept cent septante francs), sont mis à la charge de Z.________. IV. L’arrêt est exécutoire. Le président : La greffière : Du Le présent arrêt, dont la rédaction a été approuvée à huis clos, est notifié, par l'envoi d'une copie complète, à : - Me Laurent Moreillon, avocat (pour Z.________), - Ministère public central,</w:t>
      </w:r>
    </w:p>
    <w:p>
      <w:r>
        <w:t>- 9 - et communiqué à : - Office d’exécution des peines (OEP/PPL/128423/SMS), - Direction de la prison de Lenzburg,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