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AP16.022979 vom 6. Februar 2017</w:t>
      </w:r>
    </w:p>
    <w:p>
      <w:r>
        <w:t>VD Tribunal cantonal, 2017-02-06, FR</w:t>
      </w:r>
    </w:p>
    <w:p>
      <w:r>
        <w:rPr>
          <w:b/>
        </w:rPr>
        <w:t xml:space="preserve">Quelle: </w:t>
      </w:r>
      <w:r>
        <w:t>https://mcp.opencaselaw.ch/entscheid/vd_gerichte_AP16.022979</w:t>
      </w:r>
    </w:p>
    <w:p>
      <w:r>
        <w:t>FR: VD_GERICHTE AP16.022979 du 6 février 2017</w:t>
      </w:r>
    </w:p>
    <w:p>
      <w:r>
        <w:t>IT: VD_GERICHTE AP16.022979 del 6 febbraio 2017</w:t>
      </w:r>
    </w:p>
    <w:p>
      <w:pPr>
        <w:pStyle w:val="Heading2"/>
      </w:pPr>
      <w:r>
        <w:t>Erwägungen</w:t>
      </w:r>
    </w:p>
    <w:p>
      <w:r>
        <w:rPr>
          <w:b/>
        </w:rPr>
        <w:t>E. 1.1</w:t>
      </w:r>
    </w:p>
    <w:p>
      <w:r>
        <w:t>L’art. 26 al. 1 let. a LEP (Loi sur l’exécution des condamnations pénales du 4 juillet 2006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du Tribunal cantonal. La procédure est régie par les dispositions du CPP (Code de procédure pénale suisse du 5 octobre 2007 ; RS 312.0) relatives au recours, par renvoi de l’art. 38 al. 2 LEP.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RSV 312.01] ; art. 80 LOJV [Loi d’organisation judiciaire du 12 décembre 1979 ; RSV 173.01]).</w:t>
      </w:r>
    </w:p>
    <w:p>
      <w:r>
        <w:t>- 7 -</w:t>
      </w:r>
    </w:p>
    <w:p>
      <w:r>
        <w:rPr>
          <w:b/>
        </w:rPr>
        <w:t>E. 1.2</w:t>
      </w:r>
    </w:p>
    <w:p>
      <w:r>
        <w:t>En l’espèce, le recours a été interjeté en temps utile, devant l’autorité compétente, par le condamné qui a qualité pour recourir (art. 382 al. 1 CPP). Conforme aux exigences de motivation prévues par l’art. 385 al. 1 CPP, il est ainsi recevable.</w:t>
      </w:r>
    </w:p>
    <w:p>
      <w:r>
        <w:rPr>
          <w:b/>
        </w:rPr>
        <w:t>E. 2</w:t>
      </w:r>
    </w:p>
    <w:p>
      <w:r>
        <w:t>Invoquant une violation de l’art. 86 CP, le recourant, prenant appui sur le préavis favorable de l’OEP, soutient que le premier juge aurait erré en estimant qu’un pronostic négatif devait être émis. Il fait valoir qu’il aurait changé en créant une famille, que ses perspectives de construire sa vie avec sa femme ne devaient pas être élimées d’emblée pour le motif que rien de concret ne venait étayer ses affirmations et ses aspirations, et que le premier juge ne pouvait pas simplement substituer sa propre appréciation du parcours administratif qu’il allait suivre à la fin de l’exécution de sa peine aux démarches réelles qu’il allait faire en tant qu’époux d’une personne autorisée à séjourner en France.</w:t>
      </w:r>
    </w:p>
    <w:p>
      <w:r>
        <w:rPr>
          <w:b/>
        </w:rPr>
        <w:t>E. 2.1</w:t>
      </w:r>
    </w:p>
    <w:p>
      <w:r>
        <w:t>Selon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 il suffit que le pronostic ne soit pas défavorable (TF 6B_521/2011 du 12 septembre 2011 consid. 2.3 ; ATF 133 IV 201 consid. 2.2). En ce qui concerne le comportement du condamné durant l’exécution de la peine, le Tribunal fédéral a exposé que si l’art. 38 du Code pénal, dans sa version originelle de 1937, excluait la faveur de la</w:t>
      </w:r>
    </w:p>
    <w:p>
      <w:r>
        <w:t>- 8 - libération conditionnelle si le détenu ne s'était pas bien comporté dans l'établissement, les deux exigences du bon comportement et celle du pronostic favorable étant cumulatives, l’exigence relative au comportement dans l'établissement a été atténuée lors de la révision du Code pénal en 1971, le législateur ayant mis l'accent sur le pronostic favorable et se contentant d'exiger un comportement du détenu qui ne s'oppose pas à son élargissement (ATF 119 IV 5 consid. 1a/aa). On peut même se demander si le comportement en détention représente encore un critère indépendant ou s'il n'est pas, selon les circonstances, un simple élément supplémentaire d'appréciation pour établir le pronostic (ATF 119 IV 5 consid. 1a/aa et les références citées; TF 6A.71/2004 du 29 novembre 2004 consid. 2.2). Selon le Tribunal fédéral, l'accent que le législateur a voulu mettre sur la fonction de réinsertion sociale de la libération conditionnelle, et donc la priorité donnée au pronostic favorable, doivent être pris en considération dans l’appréciation du comportement du condamné durant l’exécution de la peine ; seuls peuvent dispenser l'autorité d'examiner les conditions relatives au pronostic les comportements qui, soit portent une atteinte grave au fonctionnement de l'établissement ou à d'autres intérêts dignes de protection (par exemple, voies de fait ou menaces graves contre le personnel ou des codétenus, participation à des mutineries), soit dénotent en eux-mêmes une absence d'amendement (évasion, refus systématique ou obstiné de fournir un travail convenable, abus grave de substances toxiques, etc.) ; si les comportements reprochés au détenu n'atteignent pas le degré de gravité qui interdise d'emblée d'envisager la libération conditionnelle, ils doivent être pris en considération dans l'établissement du pronostic (ATF 119 IV 5 consid. 1a/bb ; CREP 13 mai 2015/327 ; CREP 28 janvier 2015/66). S’agissant du pronostic requis, celui-ci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précité consid. 2.3 ; ATF 133 IV 201</w:t>
      </w:r>
    </w:p>
    <w:p>
      <w:r>
        <w:t>- 9 - précité consid. 2.3 ; Maire, La libération conditionnelle, in : Kuhn et al., La nouvelle partie générale du Code pénal suisse, Berne 2006, p. 361 et les références citées). Tout pronostic constitue une prévision au sujet de laquelle on ne peut exiger une certitude absolue ; il faut donc se contenter d'une certaine probabilité, un risque de récidive ne pouvant être complètement exclu (Maire, op. cit., pp. 361 ss ; ATF 119 IV 5 consid.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consid. 2a et les arrêts cités). Enfin, dans l'émission du pronostic, l'autorité compétente dispose d'un large pouvoir d'appréciation, de sorte que l'autorité de recours n'intervient que si l’autorité inférieure l'a excédé ou en a abusé, notamment lorsqu'elle a omis de tenir compte de critères pertinents et s'est fondée exclusivement sur les antécédents du condamné (TF 6B_900/2010 du 20 décembre 2010 consid. 1; ATF 133 IV 201 précité consid. 2.3).</w:t>
      </w:r>
    </w:p>
    <w:p>
      <w:r>
        <w:rPr>
          <w:b/>
        </w:rPr>
        <w:t>E. 2.3</w:t>
      </w:r>
    </w:p>
    <w:p>
      <w:r>
        <w:t>En l'espèce, la condition objective des deux tiers de la peine prévue par l'art. 86 al. 1 CP est réalisée. La réalisation de la condition du bon comportement du recourant en détention est discutable. Il faut en effet relever que, quand bien même son comportement semble s’être amélioré depuis qu’il est détenu au Pénitencier de Pöschwies, le recourant a fait l’objet de neuf sanctions disciplinaires qui attestent d’un comportement globalement mauvais tout au long de son incarcération, un transfert ayant même été nécessaire en raison de son comportement jugé inadéquat et violent.</w:t>
      </w:r>
    </w:p>
    <w:p>
      <w:r>
        <w:t>- 10 - Cette question peut cependant rester indécise, dès lors que le pronostic quant au comportement futur du recourant est clairement défavorable. Sur ce point, l'argumentation du Juge d'application des peines est convaincante et son appréciation, à laquelle la cour de céans se réfère intégralement, ne prête pas le flanc à la critique. En effet, s’il devait être libéré conditionnellement, le recourant ne pourrait vivre que dans l’illégalité, quelles que soient ses éventuelles autres intentions. En d’autres termes, il ne pourra que perpétrer de nouvelles infractions, notamment à la législation sur les étrangers. En outre, les antécédents d’O.________ sont mauvais. Il s’est par ailleurs déjà vu refuser une libération conditionnelle en 2014. Ces circonstances ne paraissent pas avoir exercé sur lui l’effet dissuasif escompté, dans la mesure où il a récidivé dès sa sortie de prison. Le degré d'introspection et l'amendement du recourant sont toujours largement insuffisants. En effet, il conteste une grande partie des faits pour lesquels il a été condamné, il considère la peine qui lui a été infligée comme trop lourde, il ignore pourquoi il a commis des infractions et rembourse ses indemnités-victimes en pensant qu’il s’agit de frais d’avocat. A cela s’ajoute que son comportement en détention est loin d’être exemplaire. Enfin, le recourant s’oppose à son renvoi en Italie en application des accords de Dublin. Il n’est pas conscient qu’il ne dispose d’aucun document d’identité lui permettant de séjourner légalement en France – encore moins d’y travailler –, mais persiste à vouloir s’établir et travailler dans ce pays en toute clandestinité. Certes, il affirme qu’il disposera en France d’un logement, d’un soutien familial et de la possibilité de trouver facilement un emploi. Il est toutefois difficile d'accorder beaucoup de crédit aux déclarations de l'intéressé, qui n’a produit aucun élément permettant d’étayer ses dires. Bien au contraire, il a même refusé de donner les coordonnées de sa femme, afin que celle-ci puisse attester la réalité et le caractère concret de leurs projets prétendument communs. Force est ainsi de constater que le pronostic quant au comportement futur du recourant s'avère résolument défavorable et que le risque qu’il commette à nouveau des infractions à sa sortie est élevé. Le</w:t>
      </w:r>
    </w:p>
    <w:p>
      <w:r>
        <w:t>- 11 - solde de peine à exécuter en cas de réintégration ne saurait selon toute vraisemblance exercer un effet suffisamment dissuasif sur ce condamné multirécidiviste. Partant, la libération conditionnelle doit lui être refusée.</w:t>
      </w:r>
    </w:p>
    <w:p>
      <w:r>
        <w:rPr>
          <w:b/>
        </w:rPr>
        <w:t>E. 3</w:t>
      </w:r>
    </w:p>
    <w:p>
      <w:r>
        <w:t>Il résulte de ce qui précède que le recours doit être rejeté et l’ordonnance attaquée confirmée. Les frais de la procédure de recours, constitués en l'espèce de l'émolument d'arrêt (art. 422 al. 1 CPP), par 1'100 fr. (art. 20 al. 1 TFIP [Tarif des frais de procédure et indemnités en matière pénale du 28 septembre 2010 ; RSV 312.03.1]), et des frais imputables à la défense d'office (art. 422 al. 1 et 2 let. a CPP), fixés à 540 fr., plus la TVA par 43 fr. 20, soit à un total de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16 janvier 2017 est confirmée. III. L’indemnité allouée au défenseur d’office d’O.________ est fixée à 583 fr. 20 (cinq cent huitante-trois francs et vingt centimes). IV. Les frais de la procédure de recours, par 1'100 fr. (mille cent francs), ainsi que l’indemnité due au défenseur d’office d’O.________, par 583 fr. 20 (cinq cent huitante-trois francs et vingt centimes), sont mis à la charge de ce dernier.</w:t>
      </w:r>
    </w:p>
    <w:p>
      <w:r>
        <w:t>- 12 - V. Le remboursement à l'Etat de l'indemnité allouée au chiffre III ci-dessus ne sera exigible que pour autant que la situation économique d’O.________ se soit améliorée. VI. L’arrêt est exécutoire. Le président : La greffière : Du Le présent arrêt, dont la rédaction a été approuvée à huis clos, est notifié, par l'envoi d'une copie complète, à : - Me Pierre Charpié, avocat (pour O.________), - Ministère public central ; et communiqué à : - Mme la Juge d’application des peines, - M. le Procureur de l’arrondissement de Lausanne, - Office d’exécution des peines (réf. : OEP/PPL/83740/CGY/AMO), - Direction du Pénitencier de Pöschwies, - Service de la population (O.________, 01.01.1992),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w:t>
      </w:r>
    </w:p>
    <w:p>
      <w:r>
        <w:t>- 13 -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