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AP16.016000 vom 7. September 2016</w:t>
      </w:r>
    </w:p>
    <w:p>
      <w:r>
        <w:t>VD Tribunal cantonal, 2016-09-07, FR</w:t>
      </w:r>
    </w:p>
    <w:p>
      <w:r>
        <w:rPr>
          <w:b/>
        </w:rPr>
        <w:t xml:space="preserve">Quelle: </w:t>
      </w:r>
      <w:r>
        <w:t>https://mcp.opencaselaw.ch/entscheid/vd_gerichte_AP16.016000</w:t>
      </w:r>
    </w:p>
    <w:p>
      <w:r>
        <w:t>FR: VD_GERICHTE AP16.016000 du 7 septembre 2016</w:t>
      </w:r>
    </w:p>
    <w:p>
      <w:r>
        <w:t>IT: VD_GERICHTE AP16.016000 del 7 settembre 2016</w:t>
      </w:r>
    </w:p>
    <w:p>
      <w:pPr>
        <w:pStyle w:val="Heading2"/>
      </w:pPr>
      <w:r>
        <w:t>Erwägungen</w:t>
      </w:r>
    </w:p>
    <w:p>
      <w:r>
        <w:rPr>
          <w:b/>
        </w:rPr>
        <w:t>E. 1</w:t>
      </w:r>
    </w:p>
    <w:p>
      <w:r>
        <w:t>CPP), le recours est recevable.</w:t>
      </w:r>
    </w:p>
    <w:p>
      <w:r>
        <w:rPr>
          <w:b/>
        </w:rPr>
        <w:t>E. 2.1</w:t>
      </w:r>
    </w:p>
    <w:p>
      <w:r>
        <w:t>En vertu de l’art. 84 al. 6 CP (Code pénal suisse du 21 décembre 1937;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6B_1027/2010 du 4 avril 2011 consid. 4.3.1 ; TF 6B_349/2008 du 24 juin 2008 consid. 3.2). L’art. 84 al. 6 CP ne donne pas un droit au congé (Dupuis et alii, Petit commentaire du Code pénal, Bâle 2012, n. 18 ad art. 86 CP). Le juge chargé d’émettre le pronostic dispose d’un large pouvoir d’appréciation (ATF 133 IV 201 consid. 2.3).</w:t>
      </w:r>
    </w:p>
    <w:p>
      <w:r>
        <w:t>- 5 -</w:t>
      </w:r>
    </w:p>
    <w:p>
      <w:r>
        <w:rPr>
          <w:b/>
        </w:rPr>
        <w:t>E. 2.2</w:t>
      </w:r>
    </w:p>
    <w:p>
      <w:r>
        <w:t>La réglementation de détail concernant les autorisations de sortie est du ressort des cantons, qui sont compétents pour fixer la nature et la durée du congé, ainsi que pour concrétiser les conditions posées par le droit fédéral (Dupuis et alii, op. cit., n. 19 ad art. 84 CP ; TF 6B_774/2011 du 3 avril 2012 consid. 1). Dans le canton de Vaud, les autorisations de sortie et la procédure sont réglementées aux art. 94 à 106 RSC (Règlement sur le statut des condamnés exécutant une peine privative de liberté et les régimes de détention applicables du 24 janvier 2007 ; RSV 340.01.1), complété par le RASAdultes. Selon l’art. 94 RSC, sont des autorisations de sortie le congé, qui vise à permettre au condamné d'entretenir des relations avec le monde extérieur et de préparer sa libération (let. a), la permission, qui est accordée au condamné pour s'occuper d'affaires personnelles, professionnelles ou judiciaires qui ne peuvent pas être différées et qui justifient sa présence hors de l'établissement (let. b) et la conduite, qui est une sortie accompagnée, accordée en raison d'un motif particulier (let. c). L'autorisation de sortie ne doit ni enlever à la condamnation son objectif de prévention ni menacer la sécurité publique (art. 95 al. 1 RSC). Pour obtenir un congé, la personne détenue doit avoir accompli au moins le tiers de la peine et avoir séjourné au moins deux mois dans le même établissement et, notamment, démontrer que l’attitude en cours de détention rend le détenu digne de la confiance accrue qu’il sollicite et que l’autorisation de sortie sollicitée est compatible avec la protection de la sécurité publique (art. 96 al. 1 RSC). Le congé ou la permission doit en outre s'inscrire dans le plan d'exécution de peine (art. 96 al. 2 RSC). S'agissant de l'octroi d'une conduite, l'autorité dont le condamné dépend fixe les conditions, de cas en cas (art. 96 al. 4 RSC). Le RASAdultes définit les conditions auxquelles est soumis l’octroi d’une autorisation de sortie par les autorités compétentes. Selon l’art. 2 al. 1 RASAdultes, l’autorisation de sortie ne doit pas enlever à la condamnation ses caractères de prévention, ni nuire à la sécurité ou mettre en danger la collectivité (art. 2 al. 1). L’art. 3 RASAdultes prévoit</w:t>
      </w:r>
    </w:p>
    <w:p>
      <w:r>
        <w:t>- 6 - soit un congé destiné à entretenir des relations avec le monde extérieur et à préparer sa libération, le principe devant être posé dans le plan d’exécution de la sanction pénale (let. a), soit une permission permettant à la personne détenue de s’occuper d’affaires personnelles, profession- nelles ou judiciaires ne pouvant être différées et pour lesquelles une sortie s’avère indispensable (let. b), soit une conduite, qui consiste en une sortie accompagnée, accordée en raison d’un motif particulier (let. c).</w:t>
      </w:r>
    </w:p>
    <w:p>
      <w:r>
        <w:rPr>
          <w:b/>
        </w:rPr>
        <w:t>E. 2.3</w:t>
      </w:r>
    </w:p>
    <w:p>
      <w:r>
        <w:t>En l’espèce, le recourant sollicite un congé pour aller voir sa fille de 3 ans et demi. Il soutient que la mère de celle-ci refuserait de l’amener en visite à la prison et craint qu’elles partent toutes les deux au Brésil. L’Office d’exécution des peines est d’avis que l’enfant et la mère de celui-ci peuvent lui rendre visite en prison. Le recourant n’expose pas en quoi l’appréciation de l’Office d’exécution des peines ne serait pas fondée, en particulier eu égard aux conditions posées par l’art. 3 RASAdultes. Même si l’on pourrait peut-être admettre que le condamné remplit les conditions objectives d’une sortie imposées par l’art. 96 al. 1 RSC - séjour d’au moins 2 mois dans le même établissement, exécution d’au moins un tiers de la peine, détenu digne de confiance et aucun danger de fuite et de récidive -, tel n’est pas le cas des conditions posées par le RASAdultes. En effet, il ne s’agit ni d’une sortie indispensable, ni d’un congé préparant la libération du recourant, et celui- ci ne fait pas état d’une situation qui serait prévue par son plan d’exécution de peine. La Fondation vaudoise de probation estime en outre que les raisons invoquées par le détenu ne constituent pas un motif de conduite. Cela étant, si la mère de l’enfant a véritablement refusé d’amener l’enfant à la prison, il est fort à craindre que, même à l’extérieur, elle refuse également de laisser le recourant voir sa fille. En conséquence, le recourant ayant la possibilité de voir sa fille durant les visites à la prison, la cour de céans considère que c’est à bon droit que l’Office d’exécution des peines a rejeté l’autorisation de sortie sollicitée. Si la mère devait refuser systématiquement d’amener l’enfant au parloir, il appartiendra au recourant d’agir par la voie civile.</w:t>
      </w:r>
    </w:p>
    <w:p>
      <w:r>
        <w:t>- 7 -</w:t>
      </w:r>
    </w:p>
    <w:p>
      <w:r>
        <w:rPr>
          <w:b/>
        </w:rPr>
        <w:t>E. 3</w:t>
      </w:r>
    </w:p>
    <w:p>
      <w:r>
        <w:t>En définitive, le recours interjeté par W.________, manifestement mal fondé, doit être rejeté sans autre échanges d’écritures (art. 390 al. 2 CPP et 39a al. 1 LEP) et la décision de l’Office d’exécution des peines du 8 août 2016 confirmée. Les frais de la procédure de recours, constitués de l’émolument d’arrêt, par 770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de l’Office d’exécution des peines du 8 août 2016 est confirmée. III. Les frais d’arrêt, par 770 fr. (sept cent septante francs), sont mis à la charge du recourant W.________. IV. L’arrêt est exécutoire. Le président : La greffière : Du Le présent arrêt, dont la rédaction a été approuvée à huis clos, est notifié, par l'envoi d'une copie complète, à :</w:t>
      </w:r>
    </w:p>
    <w:p>
      <w:r>
        <w:t>- 8 - - M. W.________, - Ministère public central, et communiqué à : - Office d’exécution des peines (OEP/PPL/84188/IPE),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