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AP16.014276 vom 30. September 2016</w:t>
      </w:r>
    </w:p>
    <w:p>
      <w:r>
        <w:t>VD Tribunal cantonal, 2016-09-30, FR</w:t>
      </w:r>
    </w:p>
    <w:p>
      <w:r>
        <w:rPr>
          <w:b/>
        </w:rPr>
        <w:t xml:space="preserve">Quelle: </w:t>
      </w:r>
      <w:r>
        <w:t>https://mcp.opencaselaw.ch/entscheid/vd_gerichte_AP16.014276</w:t>
      </w:r>
    </w:p>
    <w:p>
      <w:r>
        <w:t>FR: VD_GERICHTE AP16.014276 du 30 septembre 2016</w:t>
      </w:r>
    </w:p>
    <w:p>
      <w:r>
        <w:t>IT: VD_GERICHTE AP16.014276 del 30 settembre 2016</w:t>
      </w:r>
    </w:p>
    <w:p>
      <w:pPr>
        <w:pStyle w:val="Heading2"/>
      </w:pPr>
      <w:r>
        <w:t>Erwägungen</w:t>
      </w:r>
    </w:p>
    <w:p>
      <w:r>
        <w:rPr>
          <w:b/>
        </w:rPr>
        <w:t>E. 1</w:t>
      </w:r>
    </w:p>
    <w:p>
      <w:r>
        <w:t>L’art. 26 al. 1 let. a LEP (Loi sur l’exécution des condamnations pénales du 4 juillet 2006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w:t>
      </w:r>
    </w:p>
    <w:p>
      <w:r>
        <w:t>- 5 - En vertu de l’art. 38 al. 1 LEP, les décisions rendues par le juge d'application des peines et par le collège des juges d'application des peines peuvent faire l'objet d'un recours auprès du Tribunal cantonal.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qui, dans le canton de Vaud, est la Chambre des recours pénale (art. 13 LVCPP [Loi vaudoise d’introduction du Code de procédure pénale suisse du 19 mai 2009 ; RSV 312.01] ; art. 80 LOJV [Loi vaudoise d’organisation judiciaire du 12 décembre 1979 ; RSV 173.01]). En l’espèce, le recours a été interjeté en temps utile, auprès de l’autorité compétente, par une partie ayant qualité pour recourir (art. 381 al. 1 CPP). Conforme aux exigences de forme prescrites par l’art. 385 al. 1 CPP, il est recevable.</w:t>
      </w:r>
    </w:p>
    <w:p>
      <w:r>
        <w:rPr>
          <w:b/>
        </w:rPr>
        <w:t>E. 2.1</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w:t>
      </w:r>
    </w:p>
    <w:p>
      <w:r>
        <w:t>- 6 -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w:t>
      </w:r>
    </w:p>
    <w:p>
      <w:r>
        <w:rPr>
          <w:b/>
        </w:rPr>
        <w:t>E. 2.2</w:t>
      </w:r>
    </w:p>
    <w:p>
      <w:r>
        <w:t>En l’espèce, dans son recours, le condamné reprend en substance, en les développant, les arguments qu’il avait déjà présentés dans ses déterminations du 6 septembre 2016 précitées (cf. lettre B.e supra). Toutefois, ces arguments tombent à faux et force est de constater, avec la juge d’application des peines, que la libération conditionnelle doit être refusée au recourant en raison d’un pronostic clairement défavorable. En effet, entre avril 2014 et février 2016, S.________ a été condamné à six reprises pour infraction à la Loi fédérale sur les étrangers, dont à trois reprises également pour infraction à la Loi fédérale sur les stupéfiants. Ce parcours pénal tend clairement à démontrer que le condamné ne tire aucun enseignement de ses condamnations en persistant à demeurer en Suisse, qui plus est pour s'y adonner à la vente de stupéfiants. On ne voit pas que le repentir qu’il invoque aujourd’hui le détournerait davantage de la commission d’infractions que par le passé, alors que son refoulement vers l'Espagne en décembre 2014 à la suite d’une première condamnation pour infraction à la Loi fédérale sur les étrangers ne l'a pas empêché de revenir en Suisse et qu’une première condamnation pour infraction à la Loi fédérale sur les stupéfiants ne l’a pas empêché de récidiver en commettant une infraction grave à cette loi.</w:t>
      </w:r>
    </w:p>
    <w:p>
      <w:r>
        <w:t>- 8 - Dès lors que le seul projet du recourant est de se rendre en Espagne, pays qui selon ses propres déclarations lui refuse l’entrée sur son sol et dans lequel il ne dispose d’aucun droit de séjour, seul un pronostic défavorable peut être posé en matière d'infraction à la loi fédérale sur les étrangers, puisqu’il y a tout lieu de craindre que le recourant, dépourvu de documents d'identité valables, reste en Suisse. En outre, sans soutien familial ou social et sans ressources financières autres que l’aide d’urgence, le recourant se retrouvera immanquablement dans les mêmes conditions que celles qui prévalaient au moment de la commission des infractions contre la LStup. Le pronostic est par conséquent défavorable et le solde de peine à exécuter en cas de réintégration – de 7 mois et 8 jours – ne saurait selon toute vraisemblance exercer un effet suffisamment dissuasif sur ce condamné multirécidiviste.</w:t>
      </w:r>
    </w:p>
    <w:p>
      <w:r>
        <w:rPr>
          <w:b/>
        </w:rPr>
        <w:t>E. 2.3</w:t>
      </w:r>
    </w:p>
    <w:p>
      <w:r>
        <w:t>;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 Le Tribunal fédéral exige de procéder à un pronostic différentiel. Il s'agit d'examiner la dangerosité de l'auteur et si celle-ci</w:t>
      </w:r>
    </w:p>
    <w:p>
      <w:r>
        <w:t>- 7 -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 TF 6B_825/2011 du 8 mai 2012 consid. 1.1 ;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libération conditionnelle, qui ne résout rien et se borne à repousser le problème à plus tard (ATF 124 IV 193 consid. 4d/aa et bb, JdT 2000 IV 162).</w:t>
      </w:r>
    </w:p>
    <w:p>
      <w:r>
        <w:rPr>
          <w:b/>
        </w:rPr>
        <w:t>E. 3.1</w:t>
      </w:r>
    </w:p>
    <w:p>
      <w:r>
        <w:t>Il résulte de ce qui précède que le recours, manifestement mal fondé, doit être rejeté sans autres échanges d’écritures (art. 390 al. 2 CPP) et l’ordonnance attaquée confirmée.</w:t>
      </w:r>
    </w:p>
    <w:p>
      <w:r>
        <w:rPr>
          <w:b/>
        </w:rPr>
        <w:t>E. 3.2</w:t>
      </w:r>
    </w:p>
    <w:p>
      <w:r>
        <w:t>Me Laure-Marine Bonnard, défenseur d’office de S.________, a fourni sa liste d’opérations dans la présente cause en vue de la fixation de son indemnité d’office. Cette liste comporte un énoncé détaillé de ses activités, faisant état de 1h45 au tarif de 180 fr. de l’heure et de 6h10 au tarif de 110 fr. de l'heure. Partant, le défenseur d’office du recourant réclame une indemnité de 1'055 fr. 40, augmentée de 5% à titre de frais et débours forfaitaires, soit 52 fr. 77, pour un total de 1'107 fr. 77 hors TVA. En l’espèce, un examen de la liste des opérations produite par Me Laure-Marine Bonnard permet de parvenir à la conclusion que celle-ci a quelque peu surestimé le temps nécessaire à la défense des intérêts de son client. En particulier, on ne saurait admettre comme justifiées 6h10 de travail d’avocat-stagiaire pour préparer et rédiger un recours ainsi qu’un bordereau de pièces en matière de libération conditionnelle alors qu’au regard notamment de la faible complexité de la cause, 4 heures auraient</w:t>
      </w:r>
    </w:p>
    <w:p>
      <w:r>
        <w:t>- 9 - dû suffire, ce d’autant plus que les arguments soulevés dans le recours avaient déjà été développés, pour la plupart, dans une correspondance antérieure. Compte tenu des autres opérations alléguées, on admettra en outre 1 heure supplémentaire de travail d’avocat breveté. Au total, c’est donc une somme de 730 fr. (4 x 110 fr. + 180 + 52 fr. 70 + 8% arrondi vers le haut) qui sera allouée à titre d’indemnité d’office.</w:t>
      </w:r>
    </w:p>
    <w:p>
      <w:r>
        <w:rPr>
          <w:b/>
        </w:rPr>
        <w:t>E. 3.3</w:t>
      </w:r>
    </w:p>
    <w:p>
      <w:r>
        <w:t>Les frais de la procédure de recours, constitués en l’espèce de l’émolument d'arrêt, par 880 fr. (art. 20 al. 1 TFIP [Tarif des frais de procédure et indemnités en matière pénale du 28 septembre 2010 ; RSV 312.03.1]), et des frais imputables à la défense d’office (art. 422 al. 1 et 2 let. a CPP), fixés à 730 fr., TVA comprise,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13 septembre 2016 est confirmée. III. L’indemnité allouée au défenseur d’office du recourant est fixée à 730 fr. (sept cent trente francs). IV. Les frais du présent arrêt, par 880 fr. (huit cent huitante francs), ainsi que l'indemnité due au défenseur d'office de S.________, par 730 fr. (sept cent trente francs), sont mis à la charge de S.________. V. Le remboursement à l'Etat de l'indemnité allouée au chiffre III ci-dessus sera exigible pour autant que la situation du recourant se soit améliorée.</w:t>
      </w:r>
    </w:p>
    <w:p>
      <w:r>
        <w:t>- 10 - VI. L’arrêt est exécutoire. Le président : La greffière : Du Le présent arrêt, dont la rédaction a été approuvée à huis clos, est notifié, par l'envoi d'une copie complète, à : - Me Laure-Marine Bonnard, avocate (pour S.________), - Ministère public central, et communiqué à : - M. le Procureur de l’arrondissement de Lausanne, - Mme la Juge d’application des peines, - Office d’exécution des peines (réf. : OEP/PPL/136565/VRI/AMO), - Direction de la prison de la Tuilière, - Service de la population (départs) ([…]),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