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AP16.010842 vom 20. Juni 2016</w:t>
      </w:r>
    </w:p>
    <w:p>
      <w:r>
        <w:t>VD Tribunal cantonal, 2016-06-20, FR</w:t>
      </w:r>
    </w:p>
    <w:p>
      <w:r>
        <w:rPr>
          <w:b/>
        </w:rPr>
        <w:t xml:space="preserve">Quelle: </w:t>
      </w:r>
      <w:r>
        <w:t>https://mcp.opencaselaw.ch/entscheid/vd_gerichte_AP16.010842</w:t>
      </w:r>
    </w:p>
    <w:p>
      <w:r>
        <w:t>FR: VD_GERICHTE AP16.010842 du 20 juin 2016</w:t>
      </w:r>
    </w:p>
    <w:p>
      <w:r>
        <w:t>IT: VD_GERICHTE AP16.010842 del 20 giugno 2016</w:t>
      </w:r>
    </w:p>
    <w:p>
      <w:pPr>
        <w:pStyle w:val="Heading2"/>
      </w:pPr>
      <w:r>
        <w:t>Erwägungen</w:t>
      </w:r>
    </w:p>
    <w:p>
      <w:r>
        <w:rPr>
          <w:b/>
        </w:rPr>
        <w:t>E. 1</w:t>
      </w:r>
    </w:p>
    <w:p>
      <w:r>
        <w:t>CPP), le recours formé par U.________ est recevable.</w:t>
      </w:r>
    </w:p>
    <w:p>
      <w:r>
        <w:rPr>
          <w:b/>
        </w:rPr>
        <w:t>E. 2.1</w:t>
      </w:r>
    </w:p>
    <w:p>
      <w:r>
        <w:t>Le recourant reproche à l’OEP de s’être fondé uniquement sur la quotité de la peine qui lui a été infligée pour lui refuser l’octroi du régime des arrêts domiciliaires alors que les autres conditions prévues par la législation applicable sont remplies.</w:t>
      </w:r>
    </w:p>
    <w:p>
      <w:r>
        <w:rPr>
          <w:b/>
        </w:rPr>
        <w:t>E. 2.2</w:t>
      </w:r>
    </w:p>
    <w:p>
      <w:r>
        <w:t>Sur la base de l’ancien art. 397bis al. 4 CP (Code pénal suisse du 21 décembre 1937 ; RS 311.0), devenu depuis l’entrée en vigueur de la nouvelle partie générale du Code pénal l’actuel art. 387 al. 4 let. a CP, le canton de Vaud a été autorisé à faire exécuter de courtes peines privative liberté comprises entre vingt jours et douze mois et des soldes de longues peines privatives de liberté, à la fin ou en lieu et place de la semi-liberté, d’une durée de un à douze mois, sous le régime de l’exécution à l’extérieur de l’établissement sous surveillance électronique (TF 6B_582/2008 du 5 novembre 2008 consid. 2.3).</w:t>
      </w:r>
    </w:p>
    <w:p>
      <w:r>
        <w:t>- 4 - La réglementation des arrêts domiciliaires relève donc de la compétence cantonale (TF 6B_386/2012 du 15 novembre 2012 consid. 5.1) et fait l’objet dans le canton de Vaud du Règlement sur l'exécution des courtes peines privatives de liberté sous forme d'arrêts domiciliaires (Rad1 ; RSV 340.01.6). Conformément à l’art. 1 de ce règlement, une peine privative de liberté d’une durée de vingt jours au moins et de douze mois au plus peut être exécutée sous forme d’arrêts domiciliaires. A cet égard, le Tribunal fédéral a mis en évidence que le texte règlementaire susmentionné était clair et qu’il fallait en déduire que les peines dont la durée totale excède douze mois ne peuvent pas être exécutées sous une simple surveillance électronique (TF 6B_582/2008 du 5 novembre 2008 consid. 2.4). Par ailleurs, en se référant à l’art. 1 du Règlement sur l’exécution d’une phase du régime de fin de peine sous forme d’arrêts domiciliaires édicté par le canton de Vaud (Rad2 ; RSV 340.01.7), lequel dispose que la dernière phase d’une peine privative de liberté, à la fin ou en lieu et place de la semi-liberté, d’une durée de un à douze mois, peut être exécutée sous la forme d’arrêts domiciliaires, le Tribunal fédéral est arrivé à la conclusion que c’était à dessein que le législateur vaudois avait distingué la durée totale de la peine visée par l’art. 1 Rad1 et l’exécution d’une partie de la peine visée par l’art. 1 Rad2. En outre, une interprétation plus large de la norme cantonale irait au-delà de l’autorisation délivrée par la Confédération et ne reposerait pas sur une base légale suffisante (TF 6B_582/2008 du 5 novembre 2008 consid. 2.4).</w:t>
      </w:r>
    </w:p>
    <w:p>
      <w:r>
        <w:rPr>
          <w:b/>
        </w:rPr>
        <w:t>E. 2.3</w:t>
      </w:r>
    </w:p>
    <w:p>
      <w:r>
        <w:t>En l’espèce, bien que U.________ n’ait qu’une peine privative de liberté ferme de six mois à exécuter, la peine totale qui lui a été infligée est de trois ans, de sorte qu’elle n’entre pas dans le champ d’application de l’art. 1 Rad1. Force est dès lors de constater que l’intéressé ne peut pas bénéficier du régime des arrêts domiciliaires. Il s’ensuit que l’examen des conditions prévues à l’art. 2 Rad1 est sans pertinence. La décision de l’autorité intimée, conforme à la loi et à la jurisprudence, échappe à la critique.</w:t>
      </w:r>
    </w:p>
    <w:p>
      <w:r>
        <w:t>- 5 -</w:t>
      </w:r>
    </w:p>
    <w:p>
      <w:r>
        <w:rPr>
          <w:b/>
        </w:rPr>
        <w:t>E. 3</w:t>
      </w:r>
    </w:p>
    <w:p>
      <w:r>
        <w:t>Il résulte de ce qui précède que le recours, manifestement mal fondé, doit être rejeté, sans autre échange d’écritures (art. 390 al. 2 CPP), et la décision du 24 mai 2016 confirmée. Les frais de la procédure de recours, constitués en l’espèce de l’émolument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24 mai 2016 est confirmée. III. Les frais d’arrêt, par 550 fr. (cinq cent cinquante francs), sont mis à la charge de U.________. IV. L’arrêt est exécutoire. Le président : Le greffier : Du Le présent arrêt, dont la rédaction a été approuvée à huis clos, est notifié, par l'envoi d'une copie complète, à : - Me Antoine Eigenmann, avocat (pour U.________), - Ministère public central, et communiqué à : - Office d’exécution des peines,</w:t>
      </w:r>
    </w:p>
    <w:p>
      <w:r>
        <w:t>- 6 -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