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AP16.000011 vom 9. März 2016</w:t>
      </w:r>
    </w:p>
    <w:p>
      <w:r>
        <w:t>VD Tribunal cantonal, 2016-03-09, FR</w:t>
      </w:r>
    </w:p>
    <w:p>
      <w:r>
        <w:rPr>
          <w:b/>
        </w:rPr>
        <w:t xml:space="preserve">Quelle: </w:t>
      </w:r>
      <w:r>
        <w:t>https://mcp.opencaselaw.ch/entscheid/vd_gerichte_AP16.000011</w:t>
      </w:r>
    </w:p>
    <w:p>
      <w:r>
        <w:t>FR: VD_GERICHTE AP16.000011 du 9 mars 2016</w:t>
      </w:r>
    </w:p>
    <w:p>
      <w:r>
        <w:t>IT: VD_GERICHTE AP16.000011 del 9 marzo 2016</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351</w:t>
      </w:r>
    </w:p>
    <w:p>
      <w:r>
        <w:t>- 7 -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351</w:t>
      </w:r>
    </w:p>
    <w:p>
      <w:r>
        <w:t>- 8 -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rPr>
          <w:b/>
        </w:rPr>
        <w:t>E. 2.2</w:t>
      </w:r>
    </w:p>
    <w:p>
      <w:r>
        <w:t>En l’espèce, la condition objective des deux tiers de la peine prévue par l'art. 86 al. 1 CP est réalisée depuis le 1er mars 2016. La condition du bon comportement du recourant en détention doit également être considérée comme réalisée. Seule est donc litigieuse la question relative au pronostic. A cet égard, l'argumentation du Juge d'application des peines est convaincante et son appréciation, à laquelle se réfère intégralement la cour de céans, ne prête pas le flanc à la critique. En effet, les antécédents d’Y.________ sont particulièrement lourds. Il exécute actuellement cinq peines privatives de liberté, dont la dernière de 5 ans et 10 mois notamment pour tentative de meurtre sur son ex-épouse. Tous les intervenants sont unanimes pour dire que le risque de récidive est élevé notamment pour des actes de violences conjugales et tant la Direction des EPO que l’OEP ont préavisé négativement à propos d’une libération conditionnelle du recourant. Lors de son audition devant le Juge d’application des peines, Y.________ a démontré que son degré d’introspection et d’amendement n’était pas suffisant pour espérer un changement de comportement vis-à-vis de son ex-épouse ou de futures compagnes, niant toute propension à la violence et la nécessité d’un suivi 351</w:t>
      </w:r>
    </w:p>
    <w:p>
      <w:r>
        <w:t>- 9 - thérapeutique. Un risque de récidive envers son ex-épouse est dès lors toujours bien réel, même si le recourant s’est engagé à quitter la Suisse dès sa sortie de prison et si son ex-épouse semble lui avoir pardonné ses actes de violence. Cet éloignement ne l’empêchera de récidiver puisque son ex-épouse a manifesté l’intention de se rendre au Monténégro pour y amener les enfants pendant les vacances scolaires. Au vu de ces éléments, le pronostic quant au comportement futur du recourant est clairement défavorable et c’est à juste titre que le Juge d’application des peines a refusé de lui octroyer la libération conditionnelle.</w:t>
      </w:r>
    </w:p>
    <w:p>
      <w:r>
        <w:rPr>
          <w:b/>
        </w:rPr>
        <w:t>E. 2.3</w:t>
      </w:r>
    </w:p>
    <w:p>
      <w:r>
        <w:t>;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990 fr. (art. 20 al. 1 TFIP [Tarif des frais de procédure et indemnités en matière pénale du 28 septembre 2010 ;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février 2016 est confirmée. 351</w:t>
      </w:r>
    </w:p>
    <w:p>
      <w:r>
        <w:t>- 10 - III. L’indemnité allouée au défenseur d’office du recourant est fixée à 777 fr. 60 (sept cent septante-sept francs et soixante centimes). IV. Les frais d’arrêt, par 990 fr. (neuf cent nonante francs), ainsi que l’indemnité due au défenseur d’office du recourant, par 777 fr. 60 (sept cent septante-sept francs et soixante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Le présent arrêt, dont la rédaction a été approuvée à huis clos, est notifié, par l'envoi d'une copie complète, à : - Me Eric Muster, avocat (pour Y.________), - Ministère public central, et communiqué à : - M. le Juge d’application des peines, - M. le Procureur de l’arrondissement de l’Est vaudois, - Office d’exécution des peines (réf : OEP/PPL/38907/VRI/SMS), - Direction de la Prison des Etablissements de la plaine de l’Orbe, - SPOP, division étrangers, par l’envoi de photocopies. Le présent arrêt peut faire l'objet d'un recours en matière pénale devant le Tribunal fédéral au sens des art. 78 ss LTF (loi du 17 juin 351</w:t>
      </w:r>
    </w:p>
    <w:p>
      <w:r>
        <w:t>- 11 - 2005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