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AP15.023311 vom 17. Dezember 2015</w:t>
      </w:r>
    </w:p>
    <w:p>
      <w:r>
        <w:t>VD Tribunal cantonal, 2015-12-17, FR</w:t>
      </w:r>
    </w:p>
    <w:p>
      <w:r>
        <w:rPr>
          <w:b/>
        </w:rPr>
        <w:t xml:space="preserve">Quelle: </w:t>
      </w:r>
      <w:r>
        <w:t>https://mcp.opencaselaw.ch/entscheid/vd_gerichte_AP15.023311</w:t>
      </w:r>
    </w:p>
    <w:p>
      <w:r>
        <w:t>FR: VD_GERICHTE AP15.023311 du 17 décembre 2015</w:t>
      </w:r>
    </w:p>
    <w:p>
      <w:r>
        <w:t>IT: VD_GERICHTE AP15.023311 del 17 dicembre 2015</w:t>
      </w:r>
    </w:p>
    <w:p>
      <w:pPr>
        <w:pStyle w:val="Heading2"/>
      </w:pPr>
      <w:r>
        <w:t>Erwägungen</w:t>
      </w:r>
    </w:p>
    <w:p>
      <w:r>
        <w:rPr>
          <w:b/>
        </w:rPr>
        <w:t>E. 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Code de procédure pénale suisse (CPP du</w:t>
      </w:r>
    </w:p>
    <w:p>
      <w:r>
        <w:rPr>
          <w:b/>
        </w:rPr>
        <w:t>E. 5</w:t>
      </w:r>
    </w:p>
    <w:p>
      <w:r>
        <w:t>et 6 CEDH (Convention de sauvegarde des droits de l’homme et des libertés fondamentales du 4 novembre 1950 ; RS 0.101). Pour le surplus, il sied de relever que l’effet suspensif accordé au recours a eu pour effet le report effectif de l’exécution de la peine au-delà de la période de Noël. 2.4 Ensuite, l’exécution de la peine sous forme d’arrêts domiciliaires suppose l’exercice d’une activité professionnelle par le condamné à mi-temps au minimum (art. 2 al. 2 let. c du Règlement sur l’exécution des courtes peines privatives de liberté sous forme d’arrêts domiciliaires [Rad1] ; RSV 340.01.6). Or, le recourant ne disposait pas d’une activité lucrative au moment où la décision attaquée a été prise.</w:t>
      </w:r>
    </w:p>
    <w:p>
      <w:r>
        <w:t>- 6 - 2.5 S’agissant du solde de la peine pécuniaire donnant lieu aux dix-neuf jours de détention supplémentaires, il apparaît que le recourant s’est acquitté du montant litigieux et que, par conséquent, au vu de l’ordre d’exécution de peines de du 16 novembre 2015 – lequel annule et remplace celui du 11 novembre 2015 –, l’OEP ne requiert plus de lui qu’il effectue ce solde de peine de substitution. Ce moyen n’a donc plus d’objet. 3. En définitive, le recours, manifestement mal fondé, doit être rejeté sans autres échanges d’écritures (art. 390 al. 2 CPP) et la décision de l’OEP du 11 novembre 2015, telle que modifiée le 16 novembre 2015, confirmée. Le recours étant d’emblée dénué de chances de succès, la requête tendant à la désignation d’un défenseur d’office doit également être rejetée (art. 132 CPP ; CREP 20 octobre 2015/671, CREP 23 juin 2015/423 consid. 4). Les frais de la procédure de recours, constitués en l’espèce de l’émolument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11 novembre 2015, telle que modifiée le 16 novembre 2015, est confirmée.</w:t>
      </w:r>
    </w:p>
    <w:p>
      <w:r>
        <w:t>- 7 - III. La requête tendant à la désignation d’un défenseur d’office pour la procédure de recours est rejetée. IV. Les frais d’arrêt, par 660 fr. (six cent soixante francs), sont mis à la charge de F.________. V. Le présent arrêt est exécutoire. Le président : La greffière : Du Le présent arrêt, dont la rédaction a été approuvée à huis clos, est notifié, par l'envoi d'une copie complète, à : - Me Inès Feldmann, avocate (pour F.________), - Ministère public central, et communiqué à : - Office d’exécution des peines (Réf. [...]), - Etablissements pénitentiaires de la Plaine de l'Orbe,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