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AP15.020631 vom 21. April 2017</w:t>
      </w:r>
    </w:p>
    <w:p>
      <w:r>
        <w:t>VD Tribunal cantonal, 2017-04-21, FR</w:t>
      </w:r>
    </w:p>
    <w:p>
      <w:r>
        <w:rPr>
          <w:b/>
        </w:rPr>
        <w:t xml:space="preserve">Quelle: </w:t>
      </w:r>
      <w:r>
        <w:t>https://mcp.opencaselaw.ch/entscheid/vd_gerichte_AP15.020631</w:t>
      </w:r>
    </w:p>
    <w:p>
      <w:r>
        <w:t>FR: VD_GERICHTE AP15.020631 du 21 avril 2017</w:t>
      </w:r>
    </w:p>
    <w:p>
      <w:r>
        <w:t>IT: VD_GERICHTE AP15.020631 del 21 aprile 2017</w:t>
      </w:r>
    </w:p>
    <w:p>
      <w:pPr>
        <w:pStyle w:val="Heading2"/>
      </w:pPr>
      <w:r>
        <w:t>Erwägungen</w:t>
      </w:r>
    </w:p>
    <w:p>
      <w:r>
        <w:rPr>
          <w:b/>
        </w:rPr>
        <w:t>E. 1</w:t>
      </w:r>
    </w:p>
    <w:p>
      <w:r>
        <w:t>En vertu de l’art. 38 al. 1 LEP, les décisions rendues par le juge d'application des peines et par le collège des juges d'application des peines peuvent faire l'objet d'un recours auprès du Tribunal cantonal. La procédure est régie par les dispositions du Code de procédure pénale suisse du 5 octobre 2007 (CPP; RS 312.0) relatives au recours (art.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RSV 312.01]; art. 80 LOJV [loi d’organisation judiciaire, RSV 173.01]).</w:t>
      </w:r>
    </w:p>
    <w:p>
      <w:r>
        <w:t>- 14 - En l’espèce, le recours a été interjeté en temps utile, devant l’autorité compétente, par le condamné qui a qualité pour recourir (art. 382 al. 1 CPP). Conforme aux exigences de motivation prévues par l’art. 385 al. 1 CPP, il est ainsi recevable.</w:t>
      </w:r>
    </w:p>
    <w:p>
      <w:r>
        <w:rPr>
          <w:b/>
        </w:rPr>
        <w:t>E. 1.3</w:t>
      </w:r>
    </w:p>
    <w:p>
      <w:r>
        <w:t>et les références citées).</w:t>
      </w:r>
    </w:p>
    <w:p>
      <w:r>
        <w:rPr>
          <w:b/>
        </w:rPr>
        <w:t>E. 2.1</w:t>
      </w:r>
    </w:p>
    <w:p>
      <w:r>
        <w:t>; TF 6B_517/2013 du 19 juillet 2013 consid. 1.1 ; Heer, in : Niggli/Wiprächtiger [éd.], Basler Kommentar, Strafrecht I, 3e éd., Bâle 2013, n. 126 ad art. 59 CP).</w:t>
      </w:r>
    </w:p>
    <w:p>
      <w:r>
        <w:t>- 17 -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La pesée des intérêts doit s'effectuer entre, d'une part, le danger que la mesure veut prévenir et, d'autre part, la gravité de l'atteinte aux droits de la personne concernée. L'importance de l'intérêt public à la prévention d'infractions futures doit se déterminer d'après la vraisemblance que l'auteur commette de nouvelles infractions et la gravité des infractions en question. Plus les infractions que l'auteur pourrait commettre sont graves, plus le risque qui justifie le prononcé d'une mesure peut être faible, et inversément. Quant à l'atteinte aux droits de la personnalité de l'auteur, elle dépend non seulement de la durée de la mesure, mais également des modalités de l'exécution. Il convient également de tenir compte des effets positifs de la mesure dans l'intérêt de l'auteur (Dupuis et alii, Petit commentaire du Code pénal, Bâle 2012, nn. 7 ss ad art. 56 CP ; TF 6B_517/2013 du 19 juillet 2013 consid. 1.4.3).</w:t>
      </w:r>
    </w:p>
    <w:p>
      <w:r>
        <w:rPr>
          <w:b/>
        </w:rPr>
        <w:t>E. 2.1.1</w:t>
      </w:r>
    </w:p>
    <w:p>
      <w:r>
        <w:t>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l'art. 45 ch. 1 al. 3 aCP (cf. ATF 128 IV 241 consid. 3.2), le rapport exigé par l'art.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consid. 1.1 et la jurisprudence citée).</w:t>
      </w:r>
    </w:p>
    <w:p>
      <w:r>
        <w:rPr>
          <w:b/>
        </w:rPr>
        <w:t>E. 2.1.2</w:t>
      </w:r>
    </w:p>
    <w:p>
      <w:r>
        <w:t>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in dubio pro reo n'est pas applicable (ATF 137 IV 201 consid. 1.2 et la jurisprudence citée). Ce pronostic doit être posé en tenant compte du principe de la proportionnalité (art. 5 al. 2 Cst. [Constitution fédérale de la Confédération</w:t>
      </w:r>
    </w:p>
    <w:p>
      <w:r>
        <w:t>- 15 - suisse du 18 avril 1999 ;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consid. 1.2 et les arrêts cités). Le pronostic doit également tenir compte de la durée de la privation de liberté déjà subie par l'auteur. A cet égard, une durée de huit ans pour une mesure thérapeutique institutionnelle n’apparaît pas disproportionnée par rapport à l’intérêt public qu’est la prévention de futures infractions (ATF 137 IV 201 précité consid. 3).</w:t>
      </w:r>
    </w:p>
    <w:p>
      <w:r>
        <w:rPr>
          <w:b/>
        </w:rPr>
        <w:t>E. 2.1.3</w:t>
      </w:r>
    </w:p>
    <w:p>
      <w:r>
        <w:t>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w:t>
      </w:r>
    </w:p>
    <w:p>
      <w:r>
        <w:t>- 16 -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Mais, lorsqu'il n'y a plus lieu de s'attendre à une amélioration de l'état de l'auteur, l'autorité compétente doit lever la mesure, en prenant au besoin une ou plusieurs des dispositions prévues à l'art. 62c al. 3 à 6 CP (ATF 137 IV 201 consid.</w:t>
      </w:r>
    </w:p>
    <w:p>
      <w:r>
        <w:rPr>
          <w:b/>
        </w:rPr>
        <w:t>E. 2.1.4</w:t>
      </w:r>
    </w:p>
    <w:p>
      <w:r>
        <w:t>Le traitement thérapeutique institutionnel peut se poursuivre au-delà du délai de cinq ans, mais non sans un examen. Après l'écoulement de ce délai, la mesure nécessite un examen judiciaire. Si elle se révèle toujours nécessaire et appropriée, notamment au vu de l'état psychique de l'intéressé et des risques de récidive, elle peut être prolongée de cinq ans au plus à chaque fois, conformément à l'art. 59 al. 4 CP (TF 6B_517/2013 du 19 juillet 2013 consid. 1.1). Cette possibilité existe parce que les mesures thérapeutiques appliquées à des malades mentaux chroniques n'agissent souvent que très lentement (ATF 134 IV 315 consid. 3.4.1 et les références citées). Lors de cet examen, le juge doit donner une importance accrue au respect du principe de la proportionnalité, d'autant plus que la prolongation revêt un caractère exceptionnel et qu'elle doit être particulièrement motivée (ATF 137 IV 201 consid. 1.4 ; ATF 135 IV 139 c.</w:t>
      </w:r>
    </w:p>
    <w:p>
      <w:r>
        <w:rPr>
          <w:b/>
        </w:rPr>
        <w:t>E. 2.2</w:t>
      </w:r>
    </w:p>
    <w:p>
      <w:r>
        <w:t>supra) le sont pour constater que le recourant est encore capable d'évoluer favorablement et qu’il apparaît encore prématuré de conclure à un constat d'échec de la mesure thérapeutique institutionnelle, laquelle garde toute sa pertinence. Le Juge d’application des peines a ainsi correctement appliqué la loi (cf. consid. 2.1.3 et 2.1.4 supra) en parvenant à la conclusion que la mesure thérapeutique institutionnelle conservait sa pertinence. Quant à l’appréciation du risque de récidive qui a conduit le Juge d’application des peines à refuser la libération conditionnelle (cf. consid. 2.1.2 et 2.2 supra), quoi qu’en dise le recourant, il est parfaitement conforme aux constatations et préconisations des experts et des divers intervenants.</w:t>
      </w:r>
    </w:p>
    <w:p>
      <w:r>
        <w:rPr>
          <w:b/>
        </w:rPr>
        <w:t>E. 2.3.1</w:t>
      </w:r>
    </w:p>
    <w:p>
      <w:r>
        <w:t>Le recourant soutient tout d’abord que les éléments sur lesquels le Juge d’application des peines se fonde pour refuser la libération conditionnelle de la mesure thérapeutique institutionnelle se recouperaient étrangement avec les améliorations constatées. Il y voit une contradiction amenant à se questionner sur l’existence de motifs suffisants pour justifier un refus de la libération conditionnelle. Selon le recourant, le premier juge n’aurait pas suffisamment pris en compte son évolution et les améliorations constatées tant par l’expert que par les différents intervenants.</w:t>
      </w:r>
    </w:p>
    <w:p>
      <w:r>
        <w:t>- 20 - En l’occurrence, ces griefs tombent à faux. Les « éléments encourageants » relevés par le Juge d’application des peines (cf. consid.</w:t>
      </w:r>
    </w:p>
    <w:p>
      <w:r>
        <w:rPr>
          <w:b/>
        </w:rPr>
        <w:t>E. 2.3.2</w:t>
      </w:r>
    </w:p>
    <w:p>
      <w:r>
        <w:t>Le recourant soutient en outre que la libération conditionnelle pourrait être assortie de règles de conduite (art. 62 al. 3 CP), telles qu’un placement en appartement protégé. En l’espèce, si aucun motif de principe n’infirme ce moyen (cf., à propos d'un placement en EMS, TF 6B_433/2014 du 18 août 2014), il se heurte toutefois aux recommandations des experts psychiatres d'élargir préalablement le cadre institutionnel avant un transfert en appartement protégé, en envisageant dans un premier temps une structure d'hébergement intermédiaire avec perspective d'insertion en appartement protégé.</w:t>
      </w:r>
    </w:p>
    <w:p>
      <w:r>
        <w:rPr>
          <w:b/>
        </w:rPr>
        <w:t>E. 2.3.3</w:t>
      </w:r>
    </w:p>
    <w:p>
      <w:r>
        <w:t>Le recourant conteste enfin la durée de la prolongation de deux ans ordonnée. Il soutient qu’elle serait largement excessive au vu des circonstances, en particulier de l’atteinte à ses droits de la personnalité résultant de sa mesure thérapeutique institutionnelle et du risque qu’il commette de nouvelles infractions. Tel n’est toutefois pas le cas, au regard de l’importance des biens juridiques à protéger – étant rappelé que le recourant a été condamné pour plusieurs infractions, notamment pour des infractions contre l'intégrité sexuelle et corporelle –,</w:t>
      </w:r>
    </w:p>
    <w:p>
      <w:r>
        <w:t>- 21 - du risque de récidive et de la durée de la privation de liberté subie jusqu’ici.</w:t>
      </w:r>
    </w:p>
    <w:p>
      <w:r>
        <w:rPr>
          <w:b/>
        </w:rPr>
        <w:t>E. 2.4</w:t>
      </w:r>
    </w:p>
    <w:p>
      <w:r>
        <w:t>Au vu de l’ensemble des considérations qui précèdent, c’est à bon droit que le Juge d’application des peines a refusé au recourant la libération conditionnelle de la mesure thérapeutique institutionnelle au sens de l'art. 59 CP et qu’il a prolongé cette mesure pour une durée de deux ans.</w:t>
      </w:r>
    </w:p>
    <w:p>
      <w:r>
        <w:rPr>
          <w:b/>
        </w:rPr>
        <w:t>E. 3</w:t>
      </w:r>
    </w:p>
    <w:p>
      <w:r>
        <w:t>En définitive, le recours doit être rejeté, sans autre échange d’écritures, et l’ordonnance attaquée confirmée. L'émolument d'arrêt (art. 422 al. 1 CPP), par 2'090 fr. (art. 20 al. 1 TFIP [Tarif des frais de procédure et indemnités en matière pénale du 28 septembre 2010; RSV 312.03.1]), sera mis à la charge du recourant, qui succombe (art. 428 al. 1 CPP). L’indemnité due à l'avocat Romain Jordan pour son activité en sa qualité de défenseur d’office dans le cadre de la procédure de recours sera fixée à 1'080 fr., plus la TVA par 86 fr. 40, soit au total 1'166 fr. 40. Le remboursement à l’Etat de cette indemnité, mise à la charge du recourant (art. 422 al. 2 let. a et 428 al. 1 CPP), ne sera cependant exigible que pour autant que la situation économique de celui-ci se soit améliorée (art. 135 al. 4 CPP). Par ces motifs, la Chambre des recours pénale prononce : I. Le recours est rejeté. II. L’ordonnance du 22 mars 2017 est confirmée III. L’indemnité allouée au défenseur d’office du recourant est fixée à 1'166 fr. 40 (mille cent soixante-six francs et quarante centimes).</w:t>
      </w:r>
    </w:p>
    <w:p>
      <w:r>
        <w:t>- 22 - IV. Les frais d’arrêt, par 2'090 fr. (deux mille nonante francs), ainsi que l’indemnité due au défenseur d’office du recourant, par 1'166 fr. 40 (mille cent soixante-six francs et quarante centimes), sont mis à la charge de ce dernier. V. Le remboursement à l’Etat de l’indemnité allouée au chiffre III ci-dessus sera exigible pour autant que la situation économique du recourant se soit améliorée. VI. L’arrêt est exécutoire. Le président : La greffière : Du Le présent arrêt, dont la rédaction a été approuvée à huis clos, est notifié, par l'envoi d'une copie complète, à : - Me Romain Jordan, avocat (pour P.________), - Ministère public central ; et communiqué à : - M. le Juge d’application des peines, - M. le Procureur de l’arrondissement de Lausanne, - Office d’exécution des peines (réf. : OEP/MES/29103/AVI/MES), - Direction des Etablissements de la plaine de l’Orbe, par l’envoi de photocopies.</w:t>
      </w:r>
    </w:p>
    <w:p>
      <w:r>
        <w:t>- 23 -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