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AP15.011755 vom 23. Juni 2015</w:t>
      </w:r>
    </w:p>
    <w:p>
      <w:r>
        <w:t>VD Tribunal cantonal, 2015-06-23, FR</w:t>
      </w:r>
    </w:p>
    <w:p>
      <w:r>
        <w:rPr>
          <w:b/>
        </w:rPr>
        <w:t xml:space="preserve">Quelle: </w:t>
      </w:r>
      <w:r>
        <w:t>https://mcp.opencaselaw.ch/entscheid/vd_gerichte_AP15.011755</w:t>
      </w:r>
    </w:p>
    <w:p>
      <w:r>
        <w:t>FR: VD_GERICHTE AP15.011755 du 23 juin 2015</w:t>
      </w:r>
    </w:p>
    <w:p>
      <w:r>
        <w:t>IT: VD_GERICHTE AP15.011755 del 23 giugno 2015</w:t>
      </w:r>
    </w:p>
    <w:p>
      <w:pPr>
        <w:pStyle w:val="Heading2"/>
      </w:pPr>
      <w:r>
        <w:t>Erwägungen</w:t>
      </w:r>
    </w:p>
    <w:p>
      <w:r>
        <w:rPr>
          <w:b/>
        </w:rPr>
        <w:t>E. 15</w:t>
      </w:r>
    </w:p>
    <w:p>
      <w:r>
        <w:t>juillet 2003. Si le recourant estime que les Etablissements de la plaine de l’Orbe ne sont pas des établissements spécialisés pour l’exécution des mesures, ce qui ne justifie pas sa libération immédiate, il lui incombe de demander son transfert auprès de l’OEP, dont la décision sera susceptible de recours devant l’autorité de céans. Le recours doit donc également être rejeté sur ce point. 4. 4.1 Le recourant conteste enfin la décision du Collège des juges d’application des peines en tant qu’elle refuse la désignation d’office de son défenseur.</w:t>
      </w:r>
    </w:p>
    <w:p>
      <w:r>
        <w:t>- 8 - 4.2 Les principes régissant la désignation d’un défenseur d’office selon l’art. 132 al. 1 let. b CPP s’appliquent également mutatis mutandis dans la procédure devant le juge d'application des peines ou le collège des juges d'application des peines, car celle-ci est réglée par le CPP (cf. art. 26 al. 3 et 28 al. 8 LEP ; CREP 25 août 2014/575 c. 5.b ; CREP 1er juin 2015/376 c. 2.2). Selon l’art. 132 al. 1 let. b CPP,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(al. 2). Ces conditions reprennent largement la jurisprudence du Tribunal fédéral en matière d'assistance judiciaire, rendue sur la base de l'art. 29 al. 3 Cst. (Constitution fédérale de la Confédération suisse du 18 avril 1999 ; RS 101). Conformément à cette dernière disposition,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(cf. TF 1B_74/2013 du 9 avril 2013 c. 2.1 avec référence aux ATF 128 I 225 c. 2.5.2 p. 232 s.; ATF 120 Ia 43 c. 2a p. 44).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w:t>
      </w:r>
    </w:p>
    <w:p>
      <w:r>
        <w:t>- 9 - suffisants, elle devait les financer de ses propres deniers (cf. ATF 138 III 217 c. 2.2.4 ; ATF 129 I 129 c. 2.2). 4.3 En l’espèce, la question de l’indigence du recourant peut demeurer ouverte, bien qu’elle apparaisse établie compte tenu de la situation personnelle du condamné. Toutefois, comme l’a à juste titre relevé le Collège des juges d’application des peines, la cause paraissait d’emblée dépourvue de toute chance de succès. En effet, à la lecture du dossier du condamné, il est patent que la privation de liberté du condamné repose sur des décisions judiciaires valables, l’internement de X.________ ayant été prononcé en 2003, confirmé en 2007 puis à nouveau en 2010. Les conditions d’une défense d’office selon l’art. 132 al. 1 let. b CPP n’étaient donc pas réunies et c’est à juste titre que la requête de l’intéressé tendant à la désignation d’un défenseur d’office a été rejetée. 5. En définitive, le recours, manifestement mal fondé, doit être rejeté sans autres échanges d’écritures (art. 390 al. 2 CPP) et la décision du 11 juin 2015 confirmée. Il résulte de ce qui précède que le recours était d'emblée dénué de toute chance de succès, si bien que la demande de désignation d’un défenseur d’office pour la procédure de recours doit également être rejetée. Les frais de la procédure de recours, constitués en l'espèce du seul émolument d'arrêt, par 990 fr. (art. 422 al. 1 CPP et 20 al. 1 TFIP [Tarif des frais de procédure et indemnités en matière pénale du 28 septembre 2010; RSV 312.03.1]), seront exceptionnellement laissés à la charge de l’Etat (art. 423 al. 1 CPP).</w:t>
      </w:r>
    </w:p>
    <w:p>
      <w:r>
        <w:t>- 10 - Par ces motifs, la Chambre des recours pénale prononce : I. Le recours est rejeté. II. La décision du Collège des Juge d'application des peines du 11 juin 2015 est confirmée. III. La requête de X.________ tendant à la désignation d’un défenseur d’office pour la procédure de recours est rejetée. IV. Les frais sont laissés à la charge de l’Etat. V. Le présent arrêt est exécutoire. Le président : La greffière : Du Le présent arrêt, dont la rédaction a été approuvée à huis clos, est notifié, par l'envoi d'une copie complète, à : - Me Jean Lob, avocat (pour X.________), - Ministère public central, et communiqué à : - M. le Président du Collège des juges d’application des peines, - Office d'exécution des peines (OEP/MES/36409/AVI/VRI)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