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AP14.016585 vom 22. Oktober 2010</w:t>
      </w:r>
    </w:p>
    <w:p>
      <w:r>
        <w:t>VD Tribunal cantonal, 2010-10-22, FR</w:t>
      </w:r>
    </w:p>
    <w:p>
      <w:r>
        <w:rPr>
          <w:b/>
        </w:rPr>
        <w:t xml:space="preserve">Quelle: </w:t>
      </w:r>
      <w:r>
        <w:t>https://mcp.opencaselaw.ch/entscheid/vd_gerichte_AP14.016585</w:t>
      </w:r>
    </w:p>
    <w:p>
      <w:r>
        <w:t>FR: VD_GERICHTE AP14.016585 du 22 octobre 2010</w:t>
      </w:r>
    </w:p>
    <w:p>
      <w:r>
        <w:t>IT: VD_GERICHTE AP14.016585 del 22 ottobre 2010</w:t>
      </w:r>
    </w:p>
    <w:p>
      <w:pPr>
        <w:pStyle w:val="Heading2"/>
      </w:pPr>
      <w:r>
        <w:t>Erwägungen</w:t>
      </w:r>
    </w:p>
    <w:p>
      <w:r>
        <w:rPr>
          <w:b/>
        </w:rPr>
        <w:t>E. 1</w:t>
      </w:r>
    </w:p>
    <w:p>
      <w:r>
        <w:t>a) L’art. 36 al. 1 LEP (loi du 4 juillet 2006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bien que dépourvu de conclusions explicites. Partant, il y a lieu d’entrer en matière, sous réserve toutefois des considérants ci- dessous relatifs à l’intérêt actuel au recours.</w:t>
      </w:r>
    </w:p>
    <w:p>
      <w:r>
        <w:rPr>
          <w:b/>
        </w:rPr>
        <w:t>E. 2</w:t>
      </w:r>
    </w:p>
    <w:p>
      <w:r>
        <w:t>Le recourant soutient notamment que la décision rendue par le Juge d’application des peines serait disproportionnée et inopportune dans la mesure où elle ferait fi de son bon comportement en détention. a) Aux termes de l’art. 75 al. 3 CP (Code pénal; RS 311.0), le règlement de l'établissement (d’exécution des peines privatives de liberté, réd.) prévoit qu'un plan d'exécution est établi avec le détenu. Le plan porte notamment sur l'assistance offerte, sur la possibilité de travailler et</w:t>
      </w:r>
    </w:p>
    <w:p>
      <w:r>
        <w:t>- 5 - d'acquérir une formation ou un perfectionnement, sur la réparation du dommage, sur les relations avec le monde extérieur et sur la préparation de la libération. Selon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Les cantons sont compétents pour fixer la nature et la durée du congé, ainsi que pour concrétiser les conditions posées par le droit fédéral (Dupuis/Geller/Monnier/ Moreillon/Piguet/Bettex/Stoll [éd.], Petit commentaire CP, Bâle 2012, n. 19 ad art. 84 CP). A cet égard, l’art. 96 al. 2 RSC (règlement sur le statut des condamnés exécutant une peine privative de liberté et les régimes de détention applicables; RSV 340.01.1) prévoit que le congé ou la permission doit en outre s'inscrire dans le plan d'exécution de peine. b) En l’espèce, il doit tout d’abord être constaté que la seule date pour laquelle le congé a été demandé par l’acte du 12 juillet 2014, soit le 21 août 2014, était échue lors de la saisine de la cour de céans. Dans cette mesure, le recours n’a pas d’objet faute de tout intérêt actuel. Cela étant, comme le Tribunal fédéral en a statué sous l’angle de l'art. 89 al. 1 LTF (loi sur le Tribunal fédéral; RS 173.110), l'intérêt digne de protection du recourant peut exceptionnellement être admis abstraction faite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 1.3.1 p. 25 et la jurisprudence citée; TF arrêt 1C_9/2012 du 7 mai 2012 c. 1.2).</w:t>
      </w:r>
    </w:p>
    <w:p>
      <w:r>
        <w:t>- 6 - Dans le cas particulier, il convient d’admettre que le condamné est susceptible de déposer de nouvelles demandes de congé avant le début de la phase du plan d’exécution de la sanction prévoyant l’instauration de conduites (phase 4). On peut en effet s’attendre à ce qu’il sollicite notamment de fêter à l’extérieur d’autres anniversaires de membres de sa parenté, en particulier celui de son fils, le 21 août 2015. Dans cette mesure, le recours n’est pas dépourvu d’objet, s’agissant d’une contestation pouvant se reproduire en tout temps dans des circonstances identiques ou analogues, du moins si le comportement du condamné devait ne pas changer essentiellement. c)A l’aune des critères de l’art. 84 al. 6 CP, l’appréciation criminologique du condamné reste préoccupante, surtout quant au risque de réitération et, partant, d’atteinte à la sécurité publique. En effet, il ressort du dossier que le recourant peine à prendre conscience de la gravité des infractions à raison desquelles il a été condamné. Aussi bien, il persiste à minimiser le danger que constituent les drogues illicites pour la santé et la sécurité publiques. Ce facteur implique un risque de réitération caractérisé, renforcé encore par le fait que le condamné ne formule, en l’état, aucun projet d’avenir conforme à sa situation socio-économique et que son autorisation d’établissement a été révoquée. C’est dès lors en vain qu’il se prévaut de ce qu’il n’a pas été condamné pour des infractions contre la vie et l’intégrité corporelle. Bien plutôt, c’est précisément en raison du manque d’amendement du condamné et compte tenu de sa situation personnelle ainsi que de la quotité de la peine privative de liberté prononcée que le plan d’exécution de la sanction prévoit un échelonnement progressif des élargissements de régime. Ce régime est assurément indiqué pour un criminel aussi aguerri que le condamné et la faveur sollicitée n’y trouve pour l’heure pas place nonobstant le bon comportement de l’intéressé en détention. La constatation de l'existence du risque de réitération découlant du manque d’amendement et de la situation personnelle du condamné dispense d'examiner si le risque de fuite est réalisé, les critères</w:t>
      </w:r>
    </w:p>
    <w:p>
      <w:r>
        <w:t>- 7 - du risque de fuite et de réitération déduits de l’art. 84 al. 6 CP étant alternatifs et non cumulatifs.</w:t>
      </w:r>
    </w:p>
    <w:p>
      <w:r>
        <w:rPr>
          <w:b/>
        </w:rPr>
        <w:t>E. 3</w:t>
      </w:r>
    </w:p>
    <w:p>
      <w:r>
        <w:t>En définitive, le recours doit être rejeté et le prononcé sur recours administratif rendu le 20 août 2014 par le Juge d’application des peines confirmé. La requête tendant à la désignation d’un défenseur d’office pour la procédure de recours doit également être rejetée, dès lors que le recours apparaissait d’emblée dénué de chances de succès (Harari/Aliberti, in : Kuhn/ Jeanneret [éd.], Code de procédure pénale suisse, Commentaire romand, Bâle 2011, n. 41 ad art. 132 CPP; Ruckstuhl, in : Niggli/Heer/Wiprächtiger [éd.], Schweizerische Strafprozessordnung, Basler Kommentar, Bâle 2011, n. 10 ad art. 132 CPP; CREP 7 août 2014/540; CREP 18 décembre 2013/727 c. 7; CREP 4 janvier 2013/26; CREP 23 mai 2012/255 c. 4; CREP 19 mars 2012/244 c. 3) et que, de surcroît, la cause apparaissait dépourvue de toute difficulté.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dans la mesure où il n’est pas sans objet. II. Le prononcé sur recours administratif du 20 août 2014 est confirmé.</w:t>
      </w:r>
    </w:p>
    <w:p>
      <w:r>
        <w:t>- 8 - III. La requête de désignation d’un défenseur d’office pour la procédure de recours est rejetée. IV. Les frais d’arrêt, par 770 fr. (sept cent septante francs), sont mis à la charge de K.________. V. Le présent arrêt est exécutoire. Le président : Le greffier : Du L'arrêt qui précède, dont la rédaction a été approuvée à huis clos, est notifié, par l'envoi d'une copie complète, à : - M. K.________, - Ministère public central, division affaires spéciales, contrôle et mineurs; et communiqué à : - M. le Juge d’application des peines, - Office d’exécution des peines (réf : OEP/PPL/68742/AVI/BD),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