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AP14.009224 vom 19. Februar 2014</w:t>
      </w:r>
    </w:p>
    <w:p>
      <w:r>
        <w:t>VD Tribunal cantonal, 2014-02-19, FR</w:t>
      </w:r>
    </w:p>
    <w:p>
      <w:r>
        <w:rPr>
          <w:b/>
        </w:rPr>
        <w:t xml:space="preserve">Quelle: </w:t>
      </w:r>
      <w:r>
        <w:t>https://mcp.opencaselaw.ch/entscheid/vd_gerichte_AP14.009224</w:t>
      </w:r>
    </w:p>
    <w:p>
      <w:r>
        <w:t>FR: VD_GERICHTE AP14.009224 du 19 février 2014</w:t>
      </w:r>
    </w:p>
    <w:p>
      <w:r>
        <w:t>IT: VD_GERICHTE AP14.009224 del 19 febbraio 2014</w:t>
      </w:r>
    </w:p>
    <w:p>
      <w:pPr>
        <w:pStyle w:val="Heading2"/>
      </w:pPr>
      <w:r>
        <w:t>Erwägungen</w:t>
      </w:r>
    </w:p>
    <w:p>
      <w:r>
        <w:rPr>
          <w:b/>
        </w:rPr>
        <w:t>E. 2</w:t>
      </w:r>
    </w:p>
    <w:p>
      <w:r>
        <w:t>a) Selon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(ATF 108 IV 81 c. 3c à propos de l'art. 43 aCP; Baechtold, Exécution des peines, 2008, p. 290 s.; Heer, in : Basler Kommentar, Strafrecht I, 2e éd. 2007, n. 93 ad art. 59). Il ressort enfin de l'art. 58 al. 2 CP que les lieux d'exécution des mesures thérapeutiques visés aux art. 59 à 61 CP doivent être séparés des lieux d'exécution des peines.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En introduisant la possibilité d'exécuter une mesure institutionnelle dans un établissement pénitentiaire, le législateur a introduit une exception au principe de la séparation des lieux d'exécution des mesures de ceux d'exécution des peines (art. 58 al. 2 CP). Dans sa version originale de 2002, la loi prévoyait que le traitement s'effectuait, lorsque l'auteur avait commis une infraction au sens de l'art. 64 al. 1 CP, dans un établissement psychiatrique fermé, dans un établissement fermé d'exécution des mesures ou dans une section spéciale d'un établissement au sens de l'art. 76 CP, aussi longtemps que la sécurité l'exigeait (FF 2002 7675). Cette mesure était désignée sous les termes de "petit internement". Alors que les délinquants dangereux et</w:t>
      </w:r>
    </w:p>
    <w:p>
      <w:r>
        <w:t>- 8 - incurables devaient être internés en application de l'art. 64 CP, les délinquants dangereux qui étaient aptes à être traités devaient faire l'objet d'une mesure institutionnelle selon l'art. 59 al. 3 CP (FF 1998 1884). Les cantons devaient créer des établissements pour l'exécution des mesures visées à l'art. 59 al. 3 CP dans un délai de dix ans à partir du 1er janvier 2007 (art. 4 Disp. fin.). La loi fédérale du 24 mars 2006 a toutefois modifié la teneur de cet art. 59 al. 3 CP (RO 2006 3539 3544). Désormais, la loi n'exige plus que le traitement soit effectué dans une section spéciale d'un établissement pénitentiaire; il pourra être exécuté dans un établissement pénitentiaire, à la condition que le traitement nécessaire soit assuré par du personnel qualifié. Cette modification se justifie essentiellement pour des raisons de coûts (BO 2005 CE 1144 s.). En outre, la loi ne prévoit plus le placement en milieu fermé seulement pour les délinquants qui ont commis une infraction au sens de l'art. 64 CP; un tel placement sera ordonné, que l'auteur ait commis un crime ou un délit, en cas de risque de fuite ou de récidive. L'art. 59 al. 3 CP subordonne l'exécution en milieu fermé à l'existence d'un risque de fuite ou de récidive ("tant qu'il y a lieu de craindre que l'auteur ne s'enfuie ou ne commette de nouvelles infractions"). Le risque de récidive est toutefois déjà une condition générale du prononcé d'une mesure (art. 56 al. 1 CP). Il doit ainsi s'agir d'un risque qualifié (Heer, Das Neue Massnahmenrecht im Überblick, in : Revision des Allgemeinen Teils des Strafgesetzbuches, Berne 2007, p. 116). Le risque de récidive doit ainsi être concret et hautement probable, c'est-à-dire résulter d'une série de circonstances. Le comportement ou l'état du condamné doit représenter un danger pour la sécurité et l'ordre dans l'établissement. Au regard du principe de la proportionnalité, le placement dans un établissement fermé ne devrait pouvoir être ordonné qu'en cas de grave mise en danger de la sécurité ou de l'ordre internes. Ce sera, par exemple, le cas d'un condamné qui profère des menaces bien précises ou qui combat sciemment l'ordre de l'établissement; en revanche, l'art. 59 al. 3 CP ne devrait pas s'appliquer à de simples</w:t>
      </w:r>
    </w:p>
    <w:p>
      <w:r>
        <w:t>- 9 - difficultés de comportement ou à l'insoumission vis-à-vis des employés de l'établissement (Heer, op. cit., Strafrecht I, n. 106 ad art. 59; Queloz/Munyankindi, Code pénal I, Commentaire romand, n. 29 ad art. 59).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tente de s'enfuir sur un coup de tête et sans aucune préparation préalable, profitant par exemple d'un assouplissement des mesures de sécurité à son encontre, ne suffit pas (Heer, op. cit., Strafrecht I, n. 106 ad art. 59; Queloz/Munyankindi, op. cit., n. 28 ad art. 59). La loi ne désigne pas l'autorité compétente pour ordonner le placement en milieu fermé selon l'art. 59 al. 3 CP. Selon Marianne Heer, un tel placement représente une grave atteinte dans les droits du condamné et devrait être ordonné par un juge. Cette auteure rappelle que le Conseil fédéral avait fait de l'art. 59 al. 3 CP une forme particulière d'internement et voit ainsi le placement en milieu fermé comme une modification de la mesure institutionnelle. En outre, elle explique que le législateur a renforcé la position du juge en matière d'exécution des mesures; ainsi, le juge est compétent pour ordonner l'exécution de la peine privative de liberté en cas d'échec de la mesure (art. 62a al. 1 let. c; art. 62c al. 2 CP; Heer, op. cit., Strafrecht I, n. 110 ad art. 59; n. 3 ad art. 62c). En ordonnant le placement en milieu fermé, l'autorité n'ordonne toutefois pas une nouvelle mesure ni ne modifie la mesure, mais en transfère le lieu d'exécution (cf. Queloz/Munyankindi, op. cit., n. 27 ss ad art. 59 CP, qui traite de l'art. 59 al. 3 CP sous le titre "Modalité d'exécution du traitement"). Or, le choix du lieu d'exécution constitue une modalité d'exécution de la mesure, qui relève de la compétence de l'autorité d'exécution (TF 6B_629/2009 du 21 décembre 2009 c. 1.3.1 in fine; sur la séparation des compétences entre le juge et l'autorité d'exécution, cf. ATF 130 IV 49 c. 3.1).</w:t>
      </w:r>
    </w:p>
    <w:p>
      <w:r>
        <w:t>- 10 - A l'heure actuelle, des établissements fermés selon l'art. 59 al.</w:t>
      </w:r>
    </w:p>
    <w:p>
      <w:r>
        <w:rPr>
          <w:b/>
        </w:rPr>
        <w:t>E. 3</w:t>
      </w:r>
    </w:p>
    <w:p>
      <w:r>
        <w:t>Au vu de ce qui précède, le recours doit être rejeté et le prononcé sur recours administratif confirmé. Les frais de la procédure de recours, constitués en l'espèce de l'émolument d'arrêt, par 1’210 fr. (art. 20 al. 1 TFIP [tarif des frais de procédure et indemnités en matière pénale; RSV 312.03.1]), et des frais</w:t>
      </w:r>
    </w:p>
    <w:p>
      <w:r>
        <w:t>- 13 - imputables à la défense d’office (art. 422 al. 1 et 2 let. a CPP), fixés à 630 fr., plus la TVA par 50 fr. 40, soit 680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sur recours administratif du 25 juillet 2014 est confirmé. III. L’indemnité allouée au défenseur d’office de V.________ est fixée à 680 fr. 40 (six cent huitante francs et quarante centimes). IV. Les frais d’arrêt, par 1’210 fr. (mille deux cent dix francs), ainsi que l’indemnité due au défenseur d’office de V.________, par 680 fr. 40 (six cent huitante francs et quarante centimes), sont mis à la charge de ce dernier. V. Le remboursement à l’Etat de l’indemnité allouée au chiffre III ci-dessus ne sera exigible que pour autant que la situation économique de V.________ se soit améliorée. VI. Le présent arrêt est exécutoire. Le président : Le greffier :</w:t>
      </w:r>
    </w:p>
    <w:p>
      <w:r>
        <w:t>- 14 - Du L'arrêt qui précède, dont la rédaction a été approuvée à huis clos, est notifié, par l'envoi d'une copie complète, à : - Me Baptiste Viredaz, avocat (pour V.________), - Ministère public central, et communiqué à : - M. le Juge d’application des peines, - Office d’exécution des peines (réf.: MES/97255/AVI/JR), - Direction de la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