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AP14.007320 vom 1. Dezember 2014</w:t>
      </w:r>
    </w:p>
    <w:p>
      <w:r>
        <w:t>VD Tribunal cantonal, 2014-12-01, FR</w:t>
      </w:r>
    </w:p>
    <w:p>
      <w:r>
        <w:rPr>
          <w:b/>
        </w:rPr>
        <w:t xml:space="preserve">Quelle: </w:t>
      </w:r>
      <w:r>
        <w:t>https://mcp.opencaselaw.ch/entscheid/vd_gerichte_AP14.007320</w:t>
      </w:r>
    </w:p>
    <w:p>
      <w:r>
        <w:t>FR: VD_GERICHTE AP14.007320 du 1 décembre 2014</w:t>
      </w:r>
    </w:p>
    <w:p>
      <w:r>
        <w:t>IT: VD_GERICHTE AP14.007320 del 1 dicembre 2014</w:t>
      </w:r>
    </w:p>
    <w:p>
      <w:pPr>
        <w:pStyle w:val="Heading2"/>
      </w:pPr>
      <w:r>
        <w:t>Erwägungen</w:t>
      </w:r>
    </w:p>
    <w:p>
      <w:r>
        <w:rPr>
          <w:b/>
        </w:rPr>
        <w:t>E. 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(let. a) sur l’octroi ou le refus de la libération conditionnelle (art. 62d, 64b et 86 CP [Code pénal suisse du 21 décembre 1937, RS 311.0]).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[Code de procédure pénale suisse du 5 octobre 2007, RS 312.0]), à l’autorité de recours (art. 396 al. 1 CPP). En l’espèce, il y a donc lieu d’entrer en matière sur le recours, qui a été interjeté en temps utile devant l’autorité compétente et qui satisfait aux conditions de forme posées par l’art. 385 al. 1 CPP.</w:t>
      </w:r>
    </w:p>
    <w:p>
      <w:r>
        <w:rPr>
          <w:b/>
        </w:rPr>
        <w:t>E. 2.1</w:t>
      </w:r>
    </w:p>
    <w:p>
      <w:r>
        <w:t>Le recourant fait grief au Juge d’application des peines d’avoir violé les art. 59 ss CP en ne prenant pas suffisamment en compte sa</w:t>
      </w:r>
    </w:p>
    <w:p>
      <w:r>
        <w:t>- 14 - situation actuelle, en particulier son évolution, telle qu’elle ressort de l’expertise psychiatrique du 4 septembre 2014.</w:t>
      </w:r>
    </w:p>
    <w:p>
      <w:r>
        <w:rPr>
          <w:b/>
        </w:rPr>
        <w:t>E. 2.2</w:t>
      </w:r>
    </w:p>
    <w:p>
      <w:r>
        <w:t>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w:t>
      </w:r>
    </w:p>
    <w:p>
      <w:r>
        <w:t>- 15 -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137 IV 201 c. 1.2 et les arrêts cités). Le pronostic doit également tenir compte de la durée de la privation de liberté déjà subie par l'auteur. 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w:t>
      </w:r>
    </w:p>
    <w:p>
      <w:r>
        <w:t>- 16 - des dispositions prévues à l'art. 62c al. 3 à 6 CP (ATF 137 IV 201 c. 1.3 et les références citées).</w:t>
      </w:r>
    </w:p>
    <w:p>
      <w:r>
        <w:rPr>
          <w:b/>
        </w:rPr>
        <w:t>E. 2.3</w:t>
      </w:r>
    </w:p>
    <w:p>
      <w:r>
        <w:t>En l’espèce, le Juge d’application des peines doit se fonder sur l’ensemble des éléments pour poser un pronostic quant au comportement futur du condamné et non pas uniquement sur le rapport le plus récent présent au dossier. A cet égard, il s’est fondé sur les avis de nombreux intervenants, notamment de la CIC, de la Direction des EPO, de l’OEP ainsi que du Ministère public, tous émis ces derniers mois, pour relever que le recourant avait encore besoin d’un cadre structuré et sécurisé, accompagné d’un soutien psychothérapeutique, afin de prendre pleinement conscience de ses problématiques psychiques et de dépendance, de mettre en place des solutions pour contrôler celles-ci et ainsi de prévenir le risque élevé de récidive qu’il présentait toujours. Le Juge d’application des peines a mis en évidence la volonté d’évolution affichée par le recourant, lequel avait entamé un travail de réflexion et de compréhension sur lui-même et son mode de fonctionnement, travail qu’il devait absolument poursuivre. La mesure thérapeutique institutionnelle conserve ainsi encore tout son sens. En outre, contrairement à ce que soutient le recourant, le Juge d’application des peines s’est bien appuyé sur l’expertise psychiatrique du</w:t>
      </w:r>
    </w:p>
    <w:p>
      <w:r>
        <w:rPr>
          <w:b/>
        </w:rPr>
        <w:t>E. 4</w:t>
      </w:r>
    </w:p>
    <w:p>
      <w:r>
        <w:t>Il résulte de ce qui précède que le recours, manifestement mal fondé, doit être rejeté sans autres échanges d'écritures (art. 390 al. 2 CPP) et l’ordonnance attaquée confirmée. Les frais de la procédure de recours, constitués en l’espèce de l'émolument d'arrêt (art. 422 al. 1 CPP), par 1’870 fr. (art. 20 al. 1 TFIP [tarif des frais de procédure et indemnités en matière pénale; RSV 312.03.1]), et des frais imputables à la défense d’office (art. 422 al. 1 et 2 let. a CPP), fixés à 720 fr., plus la TVA par 57 fr. 60, soit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3 novembre 2014 est confirmée III. L'indemnité allouée au défenseur d'office de Q.________ est fixée à 777 fr. 60 (sept cent septante-sept francs et soixante centimes). IV. Les frais d'arrêt, par 1’870 fr. (mille huit cent septante francs), ainsi que l'indemnité due au défenseur d'office de Q.________, par 777 fr. 60 (sept cent septante-sept francs et soixante centimes), sont mis à la charge de ce dernier.</w:t>
      </w:r>
    </w:p>
    <w:p>
      <w:r>
        <w:t>- 20 - V. Le remboursement à l'Etat de l'indemnité allouée au chiffre III ci-dessus sera exigible pour autant que la situation économique de Q.________ se soit améliorée. VI. Le présent arrêt est exécutoire. Le président : La greffière : Du L'arrêt qui précède, dont la rédaction a été approuvée à huis clos, est notifié, par l'envoi d'une copie complète, à : - M. Romain Jordan, avocat (pour Q.________), - Ministère public central, et communiqué à : - Mme la Juge d’application des peines, - M. le Procureur de l’arrondissement de Lausanne, - M. D.________, OCTP, - Office d’exécution des peines (réf : OEP/MES/29103/AVI/ipe),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