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AP14.006929 vom 8. November 2013</w:t>
      </w:r>
    </w:p>
    <w:p>
      <w:r>
        <w:t>VD Tribunal cantonal, 2013-11-08, FR</w:t>
      </w:r>
    </w:p>
    <w:p>
      <w:r>
        <w:rPr>
          <w:b/>
        </w:rPr>
        <w:t xml:space="preserve">Quelle: </w:t>
      </w:r>
      <w:r>
        <w:t>https://mcp.opencaselaw.ch/entscheid/vd_gerichte_AP14.006929</w:t>
      </w:r>
    </w:p>
    <w:p>
      <w:r>
        <w:t>FR: VD_GERICHTE AP14.006929 du 8 novembre 2013</w:t>
      </w:r>
    </w:p>
    <w:p>
      <w:r>
        <w:t>IT: VD_GERICHTE AP14.006929 del 8 novembre 2013</w:t>
      </w:r>
    </w:p>
    <w:p>
      <w:pPr>
        <w:pStyle w:val="Heading2"/>
      </w:pPr>
      <w:r>
        <w:t>Erwägungen</w:t>
      </w:r>
    </w:p>
    <w:p>
      <w:r>
        <w:rPr>
          <w:b/>
        </w:rPr>
        <w:t>E. 26</w:t>
      </w:r>
    </w:p>
    <w:p>
      <w:r>
        <w:t>avril 2013 (P. 22). Par ordonnance du 4 juin 2014, le Juge d’application des peines a refusé la libération conditionnelle à K.________ (I), a arrêté</w:t>
      </w:r>
    </w:p>
    <w:p>
      <w:r>
        <w:t>- 5 - l’indemnité du défenseur d’office du condamné à 1'602 fr. 30, dont 118 fr. 70 de TVA (II), et a laissé les frais de la cause à la charge de l’Etat (III). C. Le 16 juin 2014, K.________ a recouru contre cette ordonnance, concluant, avec suite de frais et dépens, à son annulation, la libération conditionnelle lui étant accordée avec effet immédiat et, subsidiairement, au renvoi de la cause au premier juge pour qu’il en complète l’instruction dans le sens des considérants de l’arrêt à intervenir, le cas échéant ensuite pour qu’il accorde la libération conditionnelle. Le Ministère public a renoncé à se déterminer sur le recours.</w:t>
      </w:r>
    </w:p>
    <w:p>
      <w:r>
        <w:t>- 6 - E n d r o i 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Il satisfait en outre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w:t>
      </w:r>
    </w:p>
    <w:p>
      <w:r>
        <w:t>- 7 -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w:t>
      </w:r>
    </w:p>
    <w:p>
      <w:r>
        <w:t>- 8 - recours n'intervient que si le premier juge l'a excédé ou en a abusé, notamment lorsqu'elle a omis de tenir compte de critères pertinents et s'est fondée exclusivement sur les antécédents du condamné (TF 6B_900/2010 du 20 décembre 2010 c. 1; ATF 133 IV 201 c. 2.3). b) En l'espèce, le dossier, complet, permet de statuer en l’état. Le recourant est susceptible de bénéficier de la libération conditionnelle depuis le 10 mai 2014, date à laquelle il a purgé les deux tiers de ses dernières peines à exécuter, le terme initialement fixé au 6 juin 2014 ayant été avancé par l’effet du paiement de jours-amende. Le comportement du condamné en détention doit être qualifié d’adéquat.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revanche, les antécédents du condamné doivent être tenus pour particulièrement lourds. En effet, cinq condamnations, dont certaines à raison d’infractions graves, notamment celle de brigandage à trois reprises, ont été prononcées à son égard avant les jugements des 7 novembre 2012 et 8 novembre 2013 ici en cause. Cela étant, il est vrai que le traitement ambulatoire (portant sur les addictions) ordonné par le jugement du 8 novembre 2013 peut être poursuivi après la libération conditionnelle (art. 63 al. 4 CP). De même, l’abstinence à l’alcool dont fait preuve le condamné depuis plusieurs mois à présent à la faveur d’un traitement ambulatoire dispensé en milieu carcéral est de nature à réduire le risque de réitération à dires d’experts; il est toutefois difficile de prédire le succès de cette prise en charge hors du milieu carcéral. Le syndrome de dépendance du recourant n’est toutefois pas la principale question déterminante pour l’issue du litige.</w:t>
      </w:r>
    </w:p>
    <w:p>
      <w:r>
        <w:t>- 9 - Le critère essentiel, quant au risque de réitération de nouveaux crimes ou de nouveaux délits, est bien plutôt constitué par l’attitude du condamné à l’égard de son passé judiciaire et quant à son avenir en liberté. En effet, le comportement du condamné est marqué par une importante propension à la réitération, qui plus est, comme déjà relevé, pour des infractions parfois graves. Cette attitude est d’autant plus inquiétante qu’il présente, à dires d’experts, une forte irritabilité, une impulsivité, une faible tolérance à la frustration et une difficulté à respecter les règles et autrui. Il s’ensuit, toujours selon les experts, qu’il est susceptible de commettre de nouvelles infractions. Aucun avis psychiatrique ultérieur, notamment pas celui du 9 mai 2014, n’infirme cette appréciation. Quant aux prétendus regrets du condamné, il convient de relever que, lors de son audition par le Juge d’application des peines du 22 novembre 2010 déjà (P. 5), l’intéressé avait dit assumer les conséquences de ses actes et affirmé qu’il avait changé, ce qui le mettait, selon lui, à l’abri de la tentation de la réitération. Il n’a pourtant pas hésité à commettre de nouvelles infractions graves à plusieurs reprises par la suite, ainsi les 10 juillet, 25 septembre, 12, 19, 20, 26 octobre et 13 novembre 2012 (jugement, c. 5, p. 9 in fine), trahissant ce faisant la confiance qui avait été placée en lui. Ainsi, comme le relève l’OEP, seules les périodes de détention ont permis de mettre fin à l’activité délictueuse du recourant. De plus, la dangerosité du recourant ne pourrait, s’il venait à être libéré avant terme, qu’être accrue par le désoeuvrement dû à l’absence de tout projet professionnel. Il s’agit donc d’un délinquant aguerri, peu maître de ses pulsions agressives, qui fait preuve d’une énergie criminelle considérable et qui reste peu sensible à la répression pénale. Or cette propension à la criminalité, manifeste depuis des années, est dans une large mesure indépendante du syndrome de dépendance présenté par le condamné. Elle découle essentiellement de son trouble de la personnalité (non pathologique), dont il n’est guère conscient. Cette attitude est confortée par le rapport établi le 21 février 2014 par la direction de la Prison de La Tuilière, qui relève que le détenu</w:t>
      </w:r>
    </w:p>
    <w:p>
      <w:r>
        <w:t>- 10 - rechigne souvent à prendre en compte les informations qui lui sont transmises, alors même qu’il est devenu abstinent. Ses regrets doivent donc être considérés comme des propos de circonstances, dictés par le seul dessein de bénéficier de la libération conditionnelle. Quant aux témoins entendus par le premier juge, il s’agit de proches parents du recourant. Dans ces conditions, le solde des peines devant encore être purgé (un peu plus de six mois) est trop bref pour être dissuasif. Il y a dès lors lieu de craindre que le condamné, une fois libéré, commette de nouveaux crimes ou de nouveaux délits. La dernière condition légale cumulative posée à la libération conditionnelle n’est donc pas réalisée. 3. Il résulte de ce qui précède que le recours doit être rejeté et l’ordonnance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900 fr., plus la TVA, par 72 fr., soit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du 4 juin 2014 est confirmée.</w:t>
      </w:r>
    </w:p>
    <w:p>
      <w:r>
        <w:t>- 11 - III. L'indemnité allouée au défenseur d'office de K.________ est fixée à 972 fr. (neuf cent septante-deux francs). IV. Les frais du présent arrêt, par 990 fr. (neuf cent nonante francs), ainsi que l’indemnité due au défenseur d’office du recourant selon le chiffre III ci-dessus, sont mis à la charge de K.________. V. Le remboursement à l'Etat de l'indemnité allouée au chiffre III ci-dessus sera exigible pour autant que la situation économique de K.________ se soit améliorée. VI. Le présent arrêt est exécutoire. Le président : Le greffier : Du L'arrêt qui précède, dont la rédaction a été approuvée à huis clos, est notifié, par l'envoi d'une copie complète, à : - M. François Gillard, avocat (pour K.________), - Ministère public central, et communiqué à : - M. le Juge d'application des peines, - M. le Procureur du Ministère public de l’arrondissement de Lausanne, - M. le Surveillant-chef, Prison de La Tuilière, - SPOP, Secteur étrangers (21.02.1985), - Office d'exécution des peines (réf. [...]).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