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AP14.005903 vom 12. November 2015</w:t>
      </w:r>
    </w:p>
    <w:p>
      <w:r>
        <w:t>VD Tribunal cantonal, 2015-11-12, FR</w:t>
      </w:r>
    </w:p>
    <w:p>
      <w:r>
        <w:rPr>
          <w:b/>
        </w:rPr>
        <w:t xml:space="preserve">Quelle: </w:t>
      </w:r>
      <w:r>
        <w:t>https://mcp.opencaselaw.ch/entscheid/vd_gerichte_AP14.005903</w:t>
      </w:r>
    </w:p>
    <w:p>
      <w:r>
        <w:t>FR: VD_GERICHTE AP14.005903 du 12 novembre 2015</w:t>
      </w:r>
    </w:p>
    <w:p>
      <w:r>
        <w:t>IT: VD_GERICHTE AP14.005903 del 12 novembre 2015</w:t>
      </w:r>
    </w:p>
    <w:p>
      <w:pPr>
        <w:pStyle w:val="Heading2"/>
      </w:pPr>
      <w:r>
        <w:t>Erwägungen</w:t>
      </w:r>
    </w:p>
    <w:p>
      <w:r>
        <w:rPr>
          <w:b/>
        </w:rPr>
        <w:t>E. 1.1</w:t>
      </w:r>
    </w:p>
    <w:p>
      <w:r>
        <w:t>L’art. 26 al. 1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w:t>
      </w:r>
    </w:p>
    <w:p>
      <w:r>
        <w:t>- 8 - Lorsque la durée de la peine privative de liberté prononcée à l’encontre de la personne condamnée est égale ou supérieure à six ans ou lorsqu’un internement a été ordonnée à l’endroit de la dite personne condamnée, le collège des juges d’application des peines est seul compétent pour prendre une quelconque décision relative à la libération conditionnelle (art. 26 al. 2 LEP).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(cf. art. 384 let. b CPP), à l’autorité de recours (art. 396 al. 1 CPP).</w:t>
      </w:r>
    </w:p>
    <w:p>
      <w:r>
        <w:rPr>
          <w:b/>
        </w:rPr>
        <w:t>E. 1.2</w:t>
      </w:r>
    </w:p>
    <w:p>
      <w:r>
        <w:t>En l’espèce, interjeté en temps utile par une partie ayant qualité pour recourir et satisfaisant aux conditions de forme posées par l'art. 385 al. 1 CPP, le recours est recevable.</w:t>
      </w:r>
    </w:p>
    <w:p>
      <w:r>
        <w:rPr>
          <w:b/>
        </w:rPr>
        <w:t>E. 2.1</w:t>
      </w:r>
    </w:p>
    <w:p>
      <w:r>
        <w:t>Le recourant reproche au Collège des Juges d’application des peines d’avoir violé le principe de la célérité, en raison du fait qu’il pouvait bénéficier de la libération conditionnelle à partir du 12 août 2014. Il invoque son comportement irréprochable tout au long de sa détention et se réfère au rapport établi par la direction des EPO en janvier 2014 pour justifier l’octroi de la libération conditionnelle. Il relève que les faits qui lui étaient reprochés remontent à 2004, que son casier judiciaire était vierge avant cette condamnation et qu’il ne présenterait aucun risque de récidive en matière sexuelle en raison de son âge, soit 76 ans. Il soutient enfin que le Collège des Juges d’application des peines ne pouvait pas se baser sur</w:t>
      </w:r>
    </w:p>
    <w:p>
      <w:r>
        <w:t>- 9 - un rapport d’expertise psychiatrique de 2007 pour fonder un pronostic défavorable à son sujet.</w:t>
      </w:r>
    </w:p>
    <w:p>
      <w:r>
        <w:rPr>
          <w:b/>
        </w:rPr>
        <w:t>E. 2.2</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consid. 2.3; ATF 133 IV 201 consid.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consid. 2.3 ; ATF 133 IV 201 consid. 2.3 ;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consid. 1b).</w:t>
      </w:r>
    </w:p>
    <w:p>
      <w:r>
        <w:t>- 10 -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ATF 133 IV 201 consid. 2.3).</w:t>
      </w:r>
    </w:p>
    <w:p>
      <w:r>
        <w:rPr>
          <w:b/>
        </w:rPr>
        <w:t>E. 2.3</w:t>
      </w:r>
    </w:p>
    <w:p>
      <w:r>
        <w:t>L.________ a subi les deux tiers de sa peine au 12 août 2014. La première condition de l’art. 86 al. 1 CP est donc depuis lors réalisée. L’examen de la libération conditionnelle d’L.________ a effectivement dû être suspendu, en accord avec ce dernier, en raison de la saisine du Tribunal d’arrondissement de Lausanne au sujet de l’éventuelle modification de la sanction qui impliquait la mise en œuvre d’une nouvelle expertise psychiatrique du condamné. Ce dernier n’a ensuite pas collaboré à la procédure, en refusant en particulier de se soumettre à des évaluations psychiques. En parallèle, l’Office fédéral de la justice a exprimé des réserves quant à la compétence des tribunaux suisses pour connaître d’une situation de changement de sanction alors que la peine avait été prononcée par une juridiction étrangère. Au final, le Tribunal d’arrondissement de Lausanne a renoncé à poursuivre cette procédure de changement de sanction. L’ensemble de ces événements a de toute évidence ralenti la procédure d’examen de la libération conditionnelle.</w:t>
      </w:r>
    </w:p>
    <w:p>
      <w:r>
        <w:t>- 11 - Cela n’a néanmoins aucune incidence sur la décision à prendre, soit l’octroi ou le refus de la libération conditoinnelle. En ce qui concerne la condition du bon comportement du recourant en détention, celle-ci peut être considérée comme remplie puisque le rapport du Service pénitentiaire des EPO du 29 octobre 2013 fait état d’un comportement exempt de tout reproche, même s’il relève qu’il arrive à L.________ de tenir des propos un peu agressifs. Il reste ainsi à examiner la dernière condition posée par l’art. 86 al. 1 CP, relative au pronostic quant au comportement futur d’L.________. Il est vrai que le casier judiciaire de l’intéressé ne mentionne aucune condamnation avant celle de 2009 et qu’il est à l’heure actuelle âgé de 76 ans. Il y a néanmoins lieu de rappeler qu’L.________ avait déjà un certain âge, soit 61 ans, respectivement 65 ans, lorsqu’il a commis les agressions sexuelles pour lesquelles il a été condamné. Son âge actuel ne saurait dès lors être considéré comme un élément de nature à exclure toute récidive, ce d’autant moins que l’ensemble des rapports au dossier sont unanimement défavorables à ce sujet. En particulier, le CIC a relevé la situation préoccupante, voire inquiétante du condamné, se référant à l’expertise psychiatrique de 2007 qui avait mis en évidence une personnalité présentant des traits pervers, l’intéressé n’acceptant pas de reconnaître la gravité des faits pour lesquels il avait été condamné et ne consentant pas à examiner les composantes de déviance sexuelle et de distorsion relationnelle et affective de son organisation personnelle. Il est vrai que le rapport d’expertise psychiatrique date de 2007 et n’a pas été réactualisé. Néanmoins le recourant ne peut s’en prendre qu’à lui-même puisqu’il a refusé à plusieurs reprises la mise en œuvre d’une nouvelle expertise psychiatrique ainsi que toute évaluation du risque de récidive, en raison notamment du fait qu’il ne se considérait pas comme une personne dangereuse. Dans sa décision, le Collège des Juges d’application des peines ne s’est d’ailleurs pas uniquement fondé sur l’expertise psychiatrique française de 2007, mais bien sur l’ensemble des rapports</w:t>
      </w:r>
    </w:p>
    <w:p>
      <w:r>
        <w:t>- 12 - produits au dossier pour poser un pronostic dans le cadre de l’examen de la libération conditionnelle à L.________. Au vu de ce qui précède, le pronostic au sujet du comportement futur d’L.________ ne peut être que défavorable. C’est ainsi à juste titre que le Collège des Juges d’application des peines a refusé d’accorder la libération conditionnelle à L.________.</w:t>
      </w:r>
    </w:p>
    <w:p>
      <w:r>
        <w:rPr>
          <w:b/>
        </w:rPr>
        <w:t>E. 3</w:t>
      </w:r>
    </w:p>
    <w:p>
      <w:r>
        <w:t>En définitive, le recours doit être rejeté sans autre échange d’écritures (art. 390 al. 2 CPP) et la décision du 26 octobre 2015 confirmée. L’indemnité due au défenseur d’office du recourant sera fixée à 540 fr., correspondant à 3 heures d’activité au tarif horaire usuel de 180 fr., plus la TVA, par 43 fr. 20, soit un total de 583 fr. 20. Les frais de la procédure, soit l’émolument d’arrêt, par 1'320 fr. (art. 20 al. 1 TFIP [Tarif des frais de procédure et indemnités en matière pénale du 28 septembre 2010 ; RSV 312.03.1]), ainsi que les frais imputables à la défense d’office (art. 422 al. 1 et al. 2 let. a CPP), par 583 fr. 20, seront mis à la charge du recourant, qui succombe (art. 428 al. 1 CPP). Le remboursement à l’Etat de l’indemnité allouée au défenseur d’office du recourant ne sera toutefois exigible que pour autant que sa situation économique se soit améliorée (art. 135 al. 4 CPP).</w:t>
      </w:r>
    </w:p>
    <w:p>
      <w:r>
        <w:t>- 13 - Par ces motifs, la Chambre des recours pénale prononce : I. Le recours est rejeté. II. La décision du 26 octobre 2015 est confirmée. III. L’indemnité allouée au défenseur d’L.________ est fixée à 583 fr. 20 (cinq cent huitante-trois francs et vingt centimes). IV. Les frais d’arrêt, par 1'320 fr. (mille trois cent vingt francs), ainsi que l’indemnité due au défenseur d’office d’L.________, par 583 fr. 20, sont mis à la charge du recourant. V. Le remboursement à l’Etat de l’indemnité allouée au chiffre III ci-dessus sera exigible que pour autant que la situation économique d’L.________ se soit améliorée. V. Le présent arrêt est exécutoire. Le président : La greffière : Du Le présent arrêt, dont la rédaction a été approuvée à huis clos, est notifié, par l'envoi d'une copie complète, à : - M. Jean-Daniel Kramer, avocat (pour L.________), - Ministère public central, et communiqué à : - Collège des Juges d’application des peines - Mme la Procureure du Ministère public central, division affaires spéciales, contrôle et mineurs, - Office d’exécution des peines (réf. : PPL/80636/AVI/ipe), - Etablissements de la plaine de l’Orbe,</w:t>
      </w:r>
    </w:p>
    <w:p>
      <w:r>
        <w:t>- 14 -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