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AP14.001915 vom 16. Februar 2017</w:t>
      </w:r>
    </w:p>
    <w:p>
      <w:r>
        <w:t>VD Tribunal cantonal, 2017-02-16, FR</w:t>
      </w:r>
    </w:p>
    <w:p>
      <w:r>
        <w:rPr>
          <w:b/>
        </w:rPr>
        <w:t xml:space="preserve">Quelle: </w:t>
      </w:r>
      <w:r>
        <w:t>https://mcp.opencaselaw.ch/entscheid/vd_gerichte_AP14.001915</w:t>
      </w:r>
    </w:p>
    <w:p>
      <w:r>
        <w:t>FR: VD_GERICHTE AP14.001915 du 16 février 2017</w:t>
      </w:r>
    </w:p>
    <w:p>
      <w:r>
        <w:t>IT: VD_GERICHTE AP14.001915 del 16 febbraio 2017</w:t>
      </w:r>
    </w:p>
    <w:p>
      <w:pPr>
        <w:pStyle w:val="Heading2"/>
      </w:pPr>
      <w:r>
        <w:t>Erwägungen</w:t>
      </w:r>
    </w:p>
    <w:p>
      <w:r>
        <w:rPr>
          <w:b/>
        </w:rPr>
        <w:t>E. 1</w:t>
      </w:r>
    </w:p>
    <w:p>
      <w:r>
        <w:t>Les décisions ordonnant ou renonçant à ordonner un changement de sanction au sens de l’art. 65 CP constituent des décisions judiciaires ultérieures indépendantes au sens des art. 363 ss CPP (CREP 3 février 2016/82 et les références citées) susceptibles de recours selon les art. 393 ss CPP (ATF 141 IV 396 ; JdT 2016 IV 255).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d’organisation judiciaire ; RSV 173.01]). Interjeté en temps utile par une partie ayant qualité pour recourir (art. 382 al. 1 CPP) et dans les formes prescrites (art. 385 al. 1 CPP), le recours est recevable.</w:t>
      </w:r>
    </w:p>
    <w:p>
      <w:r>
        <w:rPr>
          <w:b/>
        </w:rPr>
        <w:t>E. 2</w:t>
      </w:r>
    </w:p>
    <w:p>
      <w:r>
        <w:t>- 15 -</w:t>
      </w:r>
    </w:p>
    <w:p>
      <w:r>
        <w:rPr>
          <w:b/>
        </w:rPr>
        <w:t>E. 2.1</w:t>
      </w:r>
    </w:p>
    <w:p>
      <w:r>
        <w:t>; TF 6B_784/2010 du 2 décembre 2010, consid. 2.1). Pour que la mesure institutionnelle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 Heer, in : Niggli/Wiprächtiger [éd.], Basler Kommentar, Strafrecht I, 3e éd., Bâle 2013, n. 78 ad art. 59 CP). Il suffit que l’intéressé puisse être motivé (« motivierbar » ; TF 6B_784/2010 du 2 décembre 2010 consid. 2.2.3).</w:t>
      </w:r>
    </w:p>
    <w:p>
      <w:r>
        <w:rPr>
          <w:b/>
        </w:rPr>
        <w:t>E. 2.2</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Massnahmenrechts, in : RPS 212 (2003), p. 376 ss, spéc. 391 ; Wiprächtiger, Grundzüge des neuen Massnahmenrechts 2002, in : La revisione della parte generale del codice penale, 2005, 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w:t>
      </w:r>
    </w:p>
    <w:p>
      <w:r>
        <w:t>- 16 - traitement entraînera, dans les cinq ans de sa durée normale, une réduction nette du risque que l'intéressé commette de nouvelles infractions. La seule possibilité vague d'une diminution du danger ne suffit pas (ATF 134 IV 315 consid. 3.4.1 ; TF 6B_13/2015 du 26 mai 2015 consid.</w:t>
      </w:r>
    </w:p>
    <w:p>
      <w:r>
        <w:rPr>
          <w:b/>
        </w:rPr>
        <w:t>E. 2.3</w:t>
      </w:r>
    </w:p>
    <w:p>
      <w:r>
        <w:t>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 in dubio pro reo » n'est pas applicable (ATF 127 IV 1 consid. 2a). Reste que la décision du juge doit respecter le principe constitutionnel de la proportionnalité (art. 36 al. 3 Cst.), nouvellement inscrit dans la loi. Selon l'art. 56 al. 2 CP, le prononcé d'une mesure suppose que l'atteinte aux droits de la personnalité qui en résulte pour l'auteur ne soit pas disproportionnée au regard de la vraisemblance qu'il commette de nouvelles infractions et de leur gravité. Cette disposition</w:t>
      </w:r>
    </w:p>
    <w:p>
      <w:r>
        <w:t>- 17 -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d'ultima ratio lorsque la dangerosité existante ne peut être écartée autrement (TF 6B_457/2007 du 12 novembre 2007 consid. 5.2, avec référence à l’ATF 118 IV 108 consid. 2a et les références citées).</w:t>
      </w:r>
    </w:p>
    <w:p>
      <w:r>
        <w:rPr>
          <w:b/>
        </w:rPr>
        <w:t>E. 2.4</w:t>
      </w:r>
    </w:p>
    <w:p>
      <w:r>
        <w:t>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consid. 1.3).</w:t>
      </w:r>
    </w:p>
    <w:p>
      <w:r>
        <w:rPr>
          <w:b/>
        </w:rPr>
        <w:t>E. 3</w:t>
      </w:r>
    </w:p>
    <w:p>
      <w:r>
        <w:t>En l’espèce, il est incontesté que le condamné présentait au moment de l’infraction et présente toujours un grave trouble mental, à savoir une problématique paraphilique d’ordre pédophile, que les infractions commises étaient en relation avec ce trouble et que l’intéressé est susceptible de commettre de nouvelles infractions en relation avec ce trouble. Cela étant, il convient d’examiner s’il est à prévoir qu’une mesure thérapeutique institutionnelle serait propre à le détourner de nouvelles infractions en relation avec son trouble – étant rappelé qu’il doit être suffisamment vraisemblable que le traitement entraînera, dans les cinq ans de sa durée normale, une réduction nette du risque que l’intéressé</w:t>
      </w:r>
    </w:p>
    <w:p>
      <w:r>
        <w:t>- 18 - commette de nouvelles infractions (cf. consid. 2.2 supra) – et si l'atteinte aux droits de la personnalité inhérente à une mesure ne serait pas disproportionnée au regard de la vraisemblance que P.________ commette de nouvelles infractions et de leur gravité (cf. consid. 2.3 supra). S'agissant du risque de récidive, les experts ont confirmé leurs précédents rapports et ont indiqué que leur appréciation du risque n'avait pas été modifiée (P. 66). Ainsi, ce risque, qui avait été qualifié en janvier 2015 de « important mais pas imminent » (P. 28, pp. 2 et 3), « reste persistant » selon les déclarations faites à l’audience du 30 janvier 2017 par l’un des experts (PV décision attaquée, p. 5), lequel avait toutefois simplement indiqué dans son rapport du 3 janvier 2017 qu’il ne « pouv[ait] écarter le risque de récidive d’actes de même nature » (P. 66, p. 12). Selon le Dr R.________, P.________ méconnaît encore ses fragilités ainsi que les situations à risque sur le plan de la récidive (P. 66, p. 11). S'agissant de la concrétisation de ce risque, l'expert avait indiqué devant le juge d'application des peines que « s'il devait y avoir un risque de récidive d'actes sexuels sur un enfant, cela serait quelque chose qui se développerait dans le cadre d'une relation privilégiée, et donc qui prendrait un certain temps » (P. 28, p. 3). Quant à l'appréciation des chances de succès d'un traitement, l'expert a déclaré lors de l’audience du 30 janvier 2017 qu'il était extrêmement difficile de répondre à cette question et de faire des pronostics sur l'avenir. Il a ajouté que l'exécution d'une mesure thérapeutique institutionnelle dans les conditions actuelles – à savoir en détention et sur une durée de cinq ans – n'apporterait vraisemblablement pas de réponse plus certaine que celle qu’il pouvait envisager aujourd'hui. L'expert a réitéré l'avis selon lequel un processus thérapeutique dans le cas d'espèce devait être compris sur le long cours et que seul un travail de ce type pouvait amener des changements plus en profondeur compte tenu du profil psychologique présenté par l'expertisé (PV décision attaquée, p. 6). L’expert a toutefois clairement exposé que « sur un plan thérapeutique, une prise en charge institutionnelle n’a pas d’intérêt ni n’apporte aucune plus-value », la seule justification que l’on puisse y voir</w:t>
      </w:r>
    </w:p>
    <w:p>
      <w:r>
        <w:t>- 19 - étant d’ordre sécuritaire, et que la solution efficace était celle d’une consultation psychothérapeutique (PV décision attaquée, p. 5). Il a enfin préconisé la poursuite de la psychothérapie et ce sur un long terme afin d'espérer quelques réaménagements psychoaffectifs, relevant que « Monsieur P.________ semble vouloir s'investir dans la thérapie et paraît capable d'une ébauche de critique des actes liés à un début de reconnaissance de l'interdit de l'inceste » (P. 66, p. 11). Il résulte de ce qui précède qu’une consultation psychothérapeutique – laquelle peut évidemment se concevoir dans une prise en charge institutionnelle qui pour le reste ne se justifierait pas, sinon pour des motifs purement sécuritaires, comme l’a relevé l’expert – est susceptible de détourner l’intéressé de la commission de nouvelles infractions. En revanche, l’atteinte à la liberté que représente un traitement institutionnel en milieu fermé se révèle disproportionnée au regard de la vraisemblance que P.________ commette de nouvelles infractions et de leur gravité. En effet, contrairement à ce que soutient le Ministère public, le fait que P.________ ne paraît pas dépourvu de toute fréquentation, puisqu’il semble soutenu par sa famille qui lui rend visite régulièrement (P. 66, p. 8) et qu’étant âgé de moins de 60 ans, « il aura encore le loisir et le temps de tisser des liens avec des personnes – amie intime, voisins, amis, parents et alliés – qui pourraient être entourées d'enfants », ne suffit pas pour retenir comme suffisamment vraisemblable la commission de nouvelles infractions du même genre, d’autant moins que les infractions redoutées seraient selon l’expert « quelque chose qui se développerait dans le cadre d'une relation privilégiée, et donc qui prendrait un certain temps ». Après huit années de détention, on ne peut reprocher à une personne de vouloir se réinsérer socialement pour éviter un risque de récidive. Certes, ce risque concerne des infractions qui portent atteinte à un bien juridique élevé, mais il doit être mis en regard avec l’atteinte aux droits de la personnalité que représente un traitement thérapeutique institutionnel, en particulier l’atteinte à la liberté du condamné. A cet égard, il ne faut pas perdre de vue qu’une mesure thérapeutique institutionnelle ne peut être prononcée pour le seul motif d’empêcher le condamné de récidiver, soit qu’elle se justifie uniquement</w:t>
      </w:r>
    </w:p>
    <w:p>
      <w:r>
        <w:t>- 20 - sur le plan sécuritaire (cf. consid. 2.4 supra). En outre, comme l’a retenu à juste titre le Tribunal criminel, la probabilité que P.________ se retrouve dans le même contexte que celui pour lequel il a été condamné, à savoir dans le cadre d'une relation père-fille, fille aujourd'hui majeure et qui n'a plus de contact avec celui-ci, est très faible. Partant, au vu des éléments qui précèdent, les conditions permettant de prononcer une mesure thérapeutique institutionnelle au sens de l’art. 59 CP ne sont pas réunies.</w:t>
      </w:r>
    </w:p>
    <w:p>
      <w:r>
        <w:rPr>
          <w:b/>
        </w:rPr>
        <w:t>E. 4</w:t>
      </w:r>
    </w:p>
    <w:p>
      <w:r>
        <w:t>En définitive, le recours du Ministère public central, manifestement mal fondé, doit être rejeté sans autre échange d’écritures (art. 390 al. 2 CPP) et la décision attaquée confirmée. En conséquence, l’ordonnance de mesures provisionnelles rendue le 2 février 2017 ordonnant le maintien en détention de P.________ jusqu’à droit connu sur le recours, doit être annulée (Moreillon/Parein-Reymond, Petit commentaire, Code de procédure pénale, 2e éd., Bâle 2016, n. 3 ad art. 388 CPP et la réf. citée). Les frais de la procédure de recours, constitués en l’espèce de l’émolument d'arrêt, par 1’980 fr. (art. 20 al. 1 TFIP [tarif des frais judiciaires de procédure et indemnités en matière pénale du 28 septembre 2010 ; RSV 312.03.1]) et des frais imputables à la défense d’office (art. 422 al. 1 et 2 let. a CPP), fixés à 270 fr., plus la TVA par 21 fr. 60, soit à 291 fr. 60 au total, seront laissés à la charge de l’Etat (art. 423 al. 1 CPP). Par ces motifs, la Chambre des recours pénale prononce : I. Le recours est rejeté. II. La décision du 30 janvier 2017 est confirmée.</w:t>
      </w:r>
    </w:p>
    <w:p>
      <w:r>
        <w:t>- 21 - III. L’ordonnance de mesures provisionnelles du 2 février 2017 est annulée. IV. L’indemnité allouée au défenseur d’office de P.________ est fixée à 291 fr. 60 (deux cent nonante et un francs et soixante centimes). V. Les frais d’arrêt, par 1’980 fr. (mille neuf cent huitante francs), ainsi que l’indemnité due au défenseur d’office de P.________, par 291 fr. 60 (deux cent nonante et un francs et soixante centimes), sont laissés à la charge de l’Etat. VI. L’arrêt est exécutoire. Le président : La greffière : Du Le présent arrêt, dont la rédaction a été approuvée à huis clos, est notifié, par l'envoi d'une copie complète, à : - Me Yann Jaillet, avocat (pour P.________) (et par fax), - Ministère public central (et par fax), et communiqué à : - M. le Président du Tribunal correctionnel de l’arrondissement de Lausanne (et par fax), - Mme la Procureure du Ministère public central, division affaires spéciales (et par fax), - Office d’exécution des peines (et par fax), - Service de la population (P.________, [...] 1958) (et par fax), - Etablissements de la Plaine de l’Orbe (et par fax), par l’envoi de photocopies. Le présent arrêt peut faire l'objet d'un recours en matière pénale devant le Tribunal fédéral au sens des art. 78 ss LTF (loi du 17 juin</w:t>
      </w:r>
    </w:p>
    <w:p>
      <w:r>
        <w:t>- 22 - 2005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