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AP13.026307 vom 6. Januar 2014</w:t>
      </w:r>
    </w:p>
    <w:p>
      <w:r>
        <w:t>VD Tribunal cantonal, 2014-01-06, FR</w:t>
      </w:r>
    </w:p>
    <w:p>
      <w:r>
        <w:rPr>
          <w:b/>
        </w:rPr>
        <w:t xml:space="preserve">Quelle: </w:t>
      </w:r>
      <w:r>
        <w:t>https://mcp.opencaselaw.ch/entscheid/vd_gerichte_AP13.026307</w:t>
      </w:r>
    </w:p>
    <w:p>
      <w:r>
        <w:t>FR: VD_GERICHTE AP13.026307 du 6 janvier 2014</w:t>
      </w:r>
    </w:p>
    <w:p>
      <w:r>
        <w:t>IT: VD_GERICHTE AP13.026307 del 6 gennaio 2014</w:t>
      </w:r>
    </w:p>
    <w:p>
      <w:pPr>
        <w:pStyle w:val="Heading2"/>
      </w:pPr>
      <w:r>
        <w:t>Erwägungen</w:t>
      </w:r>
    </w:p>
    <w:p>
      <w:r>
        <w:rPr>
          <w:b/>
        </w:rPr>
        <w:t>E. 1</w:t>
      </w:r>
    </w:p>
    <w:p>
      <w:r>
        <w:t>Le recours a été interjeté dans le délai légal (art. 396 al. 1 CPP [Code de procédure pénale suisse du 5 octobre 2007; RS 312.0]) contre une décision du Juge d'application des peines (art. 38 LEP [loi cantonale du</w:t>
      </w:r>
    </w:p>
    <w:p>
      <w:r>
        <w:rPr>
          <w:b/>
        </w:rPr>
        <w:t>E. 4</w:t>
      </w:r>
    </w:p>
    <w:p>
      <w:r>
        <w:t>juillet 2006 sur l’exécution des condamnations pénales; RSV 340.01]; art. 135 al. 2 et 3 CPP). Respectant les formes prescrites (art. 385 al. 1 CPP) et déposé par une partie ayant qualité pour recourir, le recours est recevable. Lorsque, comme en l’espèce, le recours porte uniquement sur les conséquences économiques accessoires d'une décision et que le montant litigieux ne dépasse pas 5'000 fr., un juge de l’autorité de céans statue comme juge unique (art. 395 let. b CPP et 13 al. 2 LVCPP [loi</w:t>
      </w:r>
    </w:p>
    <w:p>
      <w:r>
        <w:t>- 3 - cantonale du 19 mai 2009 d’introduction du code de procédure pénale suisse; RSV 312.01]; cf. entre autres Juge unique CREP 7 janvier 2014/7). 2. 2.1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 stagiaire à 110 fr. (cf. art. 2 al. 1 RAJ [Règlement du</w:t>
      </w:r>
    </w:p>
    <w:p>
      <w:r>
        <w:rPr>
          <w:b/>
        </w:rPr>
        <w:t>E. 7</w:t>
      </w:r>
    </w:p>
    <w:p>
      <w:r>
        <w:t>décembre 2010 sur l’assistance judiciaire en matière civile; RSV 211.02.3]; ATF 137 III 185).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2.2 En l'espèce, la Juge d’application des peines a réduit la note d'honoraires du recourant de 631 fr. 80 (1'001 fr. 20 – 369 fr. 40). Elle n'a donc alloué qu’un peu plus d’un tiers du montant réclamé, sans indiquer les raisons de la réduction. Elle a ainsi failli à son obligation de motiver les décisions fixant le montant de l'indemnité d'office. Un tel vice peut</w:t>
      </w:r>
    </w:p>
    <w:p>
      <w:r>
        <w:t>- 4 - toutefois être réparé dans le cadre de la présente procédure de recours (Juge unique CREP 21 octobre 2013/628 déjà cité c. 2b). Dans ses déterminations du 14 février 2014, la Juge d'application des peines a en bref indiqué qu'avaient seules été prises en considération les opérations de l'avocat M.________ qui étaient postérieures à la date de sa désignation en qualité de défenseur d’office. Il ressort en effet de la note d'honoraires du 4 février 2014 que les opérations alléguées sont pour la plupart antérieures à l'ordonnance du 6 janvier 2014, qui a désigné l'avocat M.________ en qualité de défenseur d'office avec effet immédiat. Ces opérations ne sauraient fonder une prétention à une indemnité. Les opérations postérieures à la désignation correspondent à un total de temps de travail de 70 minutes. Il convient d’ajouter aux honoraires un montant de 120 fr. correspondant au forfait de vacation admis par la jurisprudence cantonale, étant rappelé qu'il vaut pour tout le canton et qu'il couvre aussi bien les kilomètres que le temps du déplacement aller et retour (Juge unique CREP 21 octobre 2013/628 déjà cité c. 2b et les références citées). Il sera également tenu compte des débours allégués (13 fr.). En définitive, l'indemnité d'office allouée à l'avocat M.________ doit être arrêtée à 370 fr. 45 selon le calcul suivant, étant rappelé qu'aussi bien l'indemnité forfaitaire de vacation que les débours sont en principe soumis à la TVA, contrairement à ce que semble retenir la Juge d’application des peines dans ses déterminations : - 70 min à 180 fr. / h 210 fr. - une indemnité forfaitaire de vacation 120 fr. - débours 13 fr. - TVA 27 fr. 45 Total 370 fr. 45</w:t>
      </w:r>
    </w:p>
    <w:p>
      <w:r>
        <w:t>- 5 - 2.3 Comme elle constituait une décision, la fixation du montant de cette indemnité aurait dû figurer dans le dispositif de l’ordonnance attaquée (cf. Juge unique CREP 21 octobre 2013/628 déjà cité c. 2c). 3. Au vu de ce qui précède, le recours sera partiellement admis et l'ordonnance réformée en ce sens que l’indemnité due à l'avocat M.________ en sa qualité de défenseur d’office est arrêtée à 370 fr. 45, TVA et débours compris, à la charge de l’Etat. Compte tenu de l’admission partielle du recours et de la motivation insuffisante de l’ordonnance attaquée, les frais d'arrêt, par 450 fr. (art. 20 al. 1 TFJP [tarif des frais judiciaires pénaux; RSV 312.03.1]), seront laissés à la charge de l’Etat (art. 423 al. 1 CPP). Le défenseur d'office qui recourt en son nom propre a droit à des honoraires, calculés sur la base du tarif horaire prévu pour l’activité déployée dans le cadre d’un mandat d’office (Juge unique CREP 5 novembre 2013/678; Juge unique CREP 21 octobre 2013/628 déjà cité c. 3). L'indemnité qu'il convient d'allouer à ce titre au recourant doit être fixée au montant arrondi de 98 francs, TVA et débours compris, qui correspond à une indemnité réduite de moitié pour tenir compte de l’issue de la cause. Par ces motifs, le Juge de la Chambre des recours pénale, statuant à huis clos, prononce : I. Le recours est partiellement admis. II. L'ordonnance est réformée en ce sens qu'elle est complétée par l'ajout du chiffre suivant : « IIbis. arrête l'indemnité due à l’avocat M.________ en sa qualité de défenseur d’office d'O.________ à 370 fr. 45 (trois</w:t>
      </w:r>
    </w:p>
    <w:p>
      <w:r>
        <w:t>- 6 - cent septante francs et quarante-cinq centimes), TVA et débours compris. » III. L’ordonnance est confirmée pour le surplus. IV. Les frais de la procédure de recours, par 450 fr. (quatre cent cinquante francs), sont laissés à la charge de l'Etat. V. Un montant de 98 fr. (nonante-huit francs) est alloué à l’avocat M.________ à titre d'indemnité pour la procédure de recours, à la charge de l'Etat. VI. Le présent arrêt est exécutoire. Le juge : Le greffier : Du L'arrêt qui précède, dont la rédaction a été approuvée à huis clos, est notifié, par l'envoi d'une copie complète, à : - M. M.________, avocat, - Ministère public central, et communiqué à : - Mme la Juge d’application des peines, - Office d’exécution des peines (réf. : OEP/PPL/937447/AVI/PEJ),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