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AP13.025272 vom 29. März 2007</w:t>
      </w:r>
    </w:p>
    <w:p>
      <w:r>
        <w:t>VD Tribunal cantonal, 2007-03-29, FR</w:t>
      </w:r>
    </w:p>
    <w:p>
      <w:r>
        <w:rPr>
          <w:b/>
        </w:rPr>
        <w:t xml:space="preserve">Quelle: </w:t>
      </w:r>
      <w:r>
        <w:t>https://mcp.opencaselaw.ch/entscheid/vd_gerichte_AP13.025272</w:t>
      </w:r>
    </w:p>
    <w:p>
      <w:r>
        <w:t>FR: VD_GERICHTE AP13.025272 du 29 mars 2007</w:t>
      </w:r>
    </w:p>
    <w:p>
      <w:r>
        <w:t>IT: VD_GERICHTE AP13.025272 del 29 marzo 2007</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t>- 9 - b) En l’espèce, il y a lieu d’entrer en matière sur le recours, qui a été interjeté en temps utile devant l’autorité compétente et satisfait aux conditions de forme posées par l’art. 385 al. 1 CPP.</w:t>
      </w:r>
    </w:p>
    <w:p>
      <w:r>
        <w:rPr>
          <w:b/>
        </w:rPr>
        <w:t>E. 2</w:t>
      </w:r>
    </w:p>
    <w:p>
      <w:r>
        <w:t>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(TF 6B_804/2011 du 14 février 2012 c. 1.1.2 et la jurisprudence citée; ATF 137 IV 201 c. 1.2).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w:t>
      </w:r>
    </w:p>
    <w:p>
      <w:r>
        <w:t>- 10 - ordonnée et la dangerosité de l'auteur (ATF 137 IV 201 précité, c. 1.2 et les arrêts cités). b)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(TF 6B_804/2011 précité, c. 1.1.3; ATF 137 IV 201 précité, c. 1.3). c) L'art. 59 al. 4 CP prévoit que la mesure ne peut, en règle générale, excéder cinq ans. Cependant, si les conditions d'une libération</w:t>
      </w:r>
    </w:p>
    <w:p>
      <w:r>
        <w:t>- 11 -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(TF 6B_804/2011 précité, c. 1.1.4; ATF 137 IV 201 précité, c. 1.4).</w:t>
      </w:r>
    </w:p>
    <w:p>
      <w:r>
        <w:rPr>
          <w:b/>
        </w:rPr>
        <w:t>E. 3</w:t>
      </w:r>
    </w:p>
    <w:p>
      <w:r>
        <w:t>a) En l'espèce, R.________ fait valoir que l’ordonnance attaquée serait incomplète, dans la mesure où elle ne reprend pas la totalité des avis positifs du Dr C.________ et de ceux de l’EMS G.________. Il est exact que le dossier comporte plusieurs avis du Dr C.________, soit six au total (P. 3/1), et que l’ordonnance n’en mentionne que deux, soit ceux des 26 août et 4 novembre 2013. Toutefois, ces deux documents, qui ont été produits dans le cadre de l’examen de la libération conditionnelle et dont le premier juge a résumé fidèlement le contenu (ordonnance, pp. 2 et 3, c. C.2), reprennent pour l’essentiel les éléments ressortant des autres avis auxquels se réfère l’intéressé, datés des 15 avril, 3 juin et 17 septembre 2013, avis qui n’ont, quant à eux, été émis que dans le cadre des autorisations de sortie demandées par l’intéressé (p. 3/1). Cela étant, il apparaît justifié de compléter les faits en se référant également à ces autres avis, mais uniquement dans la mesure où ceux-ci apportent des éléments nouveaux et utiles à l’examen de la présente cause (cf. c. B.e supra). Il en va de même s’agissant des avis émis par les intervenants de l’EMS G.________, en particulier des courriers électroniques que ceux-ci ont adressés à l’OEP et auxquels le premier juge ne s’est pas référé (c. B.d supra). Ainsi, on donnera acte au recourant du fait que le Dr C.________ a, dans ses courriers des 15 avril et 3 juin 2013 à l’OEP, fait état, chez l’intéressé, d’une évolution globalement favorable, mais lente, de la "réduction des sautes d’humeur", comme cela ressort du courrier du</w:t>
      </w:r>
    </w:p>
    <w:p>
      <w:r>
        <w:t>- 12 - 17 septembre 2013, et de l’absence de violence, la "meilleure sociabilité" et la (quasi) "disparition des incivilités" sur lesquelles insistent le recourant (recours, p. 3 in fine) ayant été prises en compte par le premier juge, contrairement à ce qu’il soutient (ordonnance, pp. 2 et 3, c. C.2). S’agissant des documents produits par l’EMS (P. 3/3), outre les courriers des 10 septembre 2013 et 25 octobre 2013 repris par le premier juge (ordonnance, p. 2, c. C.1), on mentionnera les e-mails que l’EMS a adressés à l’OEP les 4 et 20 octobre et 25 novembre 2013, d’où il ressort que le recourant éprouve de "grosses difficultés à se lever", difficultés dont il est conscient, et qu’il est dans un projet d’intégration en ateliers protégés. Pour le reste, l’intéressé ne fait que s’appuyer sur les avis ou extraits d’avis qui sont favorables à sa cause, dont il fait d’ailleurs une lecture inexacte en interprétant certains éléments en sa faveur. Se référant au courrier du Dr C.________ du 4 novembre 2013, il invoque "la nouvelle intégration de la loi" de sa part, alors que le document en question ne parle que d’une "relative intégration de la loi". Ensuite, si, selon le courrier de l’EMS du 10 septembre 2013, l’intéressé respecte les horaires et les consignes, cela vaut "pour les sorties seul". On mentionnera encore, s’agissant de l’épisode survenu le 8 juin 2013 dans la cuisine de l’EMS, au cours de laquelle le recourant, contrarié, a laissé tomber son assiette par terre, ce qui a conduit à la suspension de son travail dans l’atelier cuisine (P. 3/3, e-mail et courrier de l’EMS des 10 juin et 10 septembre 2013), que s’il a su se calmer de lui-même, sans l’intervention d’un tiers, l’intéressé tente néanmoins de minimiser la gravité des faits en relevant qu’il n’a "jamais été inadéquat avec une personne de la cuisine" et qu’il a "juste monté le ton" (P. 5, ligne 70), alors qu’il ressort du rapport de l’EMS du 10 septembre 2013 qu’il a été agressif envers le responsable d’atelier, de sorte qu’on ne saurait dire qu’il "sait parfaitement se maîtriser" (recours, p. 5 in initio). On remarquera d’ailleurs en relation avec cet épisode que l’intéressé n’a pas hésité à mettre la faute sur son interlocuteur, qui l’aurait selon lui poussé (P. 3/3, e-mail du 10 juin 2013); or, ce comportement est lié au mode de fonctionnement du condamné, décrit dans le rapport d’expertise du 26 octobre 2012 (page 7 in fine)</w:t>
      </w:r>
    </w:p>
    <w:p>
      <w:r>
        <w:t>- 13 - comme une personne qui tend à banaliser ses actes et à se placer dans une position de victime, comme l’a d’ailleurs également relevé le Dr C.________ dans son rapport du 26 août 2013 (P. 3/1) en indiquant que le recourant projetait ses délits "sur les autres, la société". b) Complété dans la mesure décrite ci-avant, l’état de fait ne change toutefois rien quant à l’appréciation de la cause, l’ordonnance attaquée étant suffisamment motivée et s’appuyant à juste titre sur les éléments déterminants. On relèvera en effet à cet égard que si R.________ a, depuis son placement en EMS, fait d’importants progrès, il n’en reste pas moins que son autonomie est clairement insuffisante pour envisager une libération conditionnelle. Le prénommé souffre de troubles schizo- affectifs de type mixte et de retard mental léger, qui peuvent entraîner chez lui une impulsivité manifeste, l’amènent à "vivre des angoisses majeures et contribue[nt] à le rendre interprétatif, particulièrement lors des épisodes d’altération thymique" (rapport d’expertise du 26 octobre 2012, p. 13 in fine). De l’avis de la CIC (P. 3/6), l’amélioration du comportement du prénommé est due au traitement auquel il accepte de s’astreindre et surtout à la contenance et à la solidité du cadre dont il bénéficie dans sa prise en charge médicale et socio-éducative, de sorte qu’il paraît préférable de consolider et de stabiliser les progrès comportementaux et relationnels acquis par le recourant avant de l’engager dans une démarche d’autonomisation, en particulier par l’accès à un appartement protégé. Or, en l'état, il n'y a pas de raison de s'écarter de la recommandation de la CIC qui, même si elle ne constitue pas une décision au sens formel qui lie l'autorité compétente, joue un rôle important et a un poids déterminant dans la prise de décision de l'autorité d'exécution (TF 6B_27/2011 du 5 août 2011 c. 3.1). Ainsi, s'il est indubitable que le recourant a évolué favorablement, ces progrès peuvent et doivent toutefois se poursuivre dans l’EMS G.________, notamment par un placement dans leurs appartements protégés ou en augmentant le temps de travail de l’intéressé, voire la durée des visites chez ses parents. L’amélioration qui a été constatée au niveau de sa passivité, en particulier en ce qui concerne</w:t>
      </w:r>
    </w:p>
    <w:p>
      <w:r>
        <w:t>- 14 - ses difficultés à se lever, mises en évidence tant par les intervenants de l’EMS que par le Dr C.________, n’est encore que récente (P. 5, lignes 82 ss). A cela s’ajoute qu’il peine, comme on l’a vu ci-dessus, à mesurer toute la portée et les conséquences de ses actes, s’agissant notamment des infractions pour lesquelles il a été condamné et de ses réactions parfois exagérées, voire agressives. On relèvera que dans l'hypothèse d'une libération conditionnelle, sans passage obligé en logement protégé, le recourant s'installerait auprès de ses parents, comme il l’a expliqué lors de son audition du 22 janvier 2014 (P. 5, lignes 77 ss); or on peut douter, sur la base de l’appréciation faite par le Dr C.________ dans son courrier du 17 septembre 2013 (P. 3/1), que le recourant puisse, en l’état, recevoir chez ses parents un encadrement suffisant pour contenir les éventuels dérapages en cas de conflit, puisque, de l’avis du psychiatre, il reste "intolérant à la frustration et potentiellement imprévisible en cas de débordement émotionnel". On rappellera à cet égard que pour que l’on puisse poser un pronostic favorable quant à son comportement futur, il n’est pas nécessaire que l’auteur soit mentalement normal, mais il suffit – et il faut – qu’il ait appris à vivre avec ses déficits (TF 6B_804/2011 du 14 février 2012 c. 1.1.2 et; ATF 137 IV 201 c. 1.2, précités; c. 2a supra), ce qui n’est pas le cas en l’espèce. Le recourant, qui a bénéficié d’un allègement de son régime sous la forme de multiples congés et qui, ensuite de la suspension de son travail dans l’atelier cuisine, occupe à nouveau, semble-t-il, depuis peu un poste en atelier protégé (P. 5, ligne 54), ne saurait dire qu’il n’y a eu "[aucune] ouverture significative du côté des autorités judiciaires" (recours, p. 6), d’autant plus que des perspectives d'allègement supplémentaires peuvent être envisagée, comme on l’a vu. Le fait que cela fait plus de 41 mois que le recourant vit en institution n’est en soi pas pertinent (c. 2c supra) et on ne peut affirmer que la mesure ne se justifie plus et qu’il n’y a plus rien à attendre de ce placement. Au contraire, le traitement vise à améliorer l'état de santé du recourant et produit donc aussi des effets positifs dans son intérêt.</w:t>
      </w:r>
    </w:p>
    <w:p>
      <w:r>
        <w:t>- 15 - Partant, la durée de la poursuite de la mesure thérapeutique institutionnelle ne contrevient pas à la proportionnalité au regard de l'art. 59 al. 4, seconde phrase in fine, CP, s'agissant également de favoriser l’amélioration mise en évidence par les médecins. En d’autres termes, la situation n’a pas suffisamment changé depuis le précédent prononcé pour justifier une libération conditionnelle. Le tableau clinique présenté par le recourant ne justifiant pas, en l’état, qu'on lui donne l'occasion de faire ses preuves en liberté, c'est à raison que le premier juge a refusé la libération conditionnelle de la mesure thérapeutique institutionnelle.</w:t>
      </w:r>
    </w:p>
    <w:p>
      <w:r>
        <w:rPr>
          <w:b/>
        </w:rPr>
        <w:t>E. 4</w:t>
      </w:r>
    </w:p>
    <w:p>
      <w:r>
        <w:t>Il résulte de ce qui précède que le recours doit être rejeté et l’ordonnance confirmée. Vu l’issue du recours, les frais de la procédure de recours, constitués en l’espèce de l’émolument d'arrêt (art. 422 al. 1 CPP), par 1’540 fr. (art. 20 al. 1 TFJP [tarif des frais judiciaires pénaux; RSV 312.03.1]), et des frais imputables à la défense d’office (art. 422 al. 1 et 2 let. a CPP), fixés à 540 fr., plus la TVA, par 43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- 16 - Par ces motifs, la Chambre des recours pénale, statuant à huis clos, prononce : I. Le recours est rejeté. II. L’ordonnance du 12 février 2014 est confirmée. III. L'indemnité allouée au défenseur d'office de R.________ est fixée à 583 fr. 20 (cinq cent huitante-trois francs et vingt centimes). IV. Les frais d'arrêt, par 1’540 fr. (mille cinq cent quarante francs), ainsi que l'indemnité due au défenseur d'office de R.________ selon le chiffre III ci-dessus, sont mis à la charge de ce dernier. V. Le remboursement à l'Etat de l'indemnité allouée au chiffre III ci-dessus sera exigible pour autant que la situation économique de R.________ se soit améliorée. VI. L'arrêt est exécutoire. Le président : Le greffier : Du L'arrêt qui précède, dont la rédaction a été approuvée à huis clos, est notifié, par l'envoi d'une copie complète, à : - M. Gilles Miauton, avocat (pour R.________), - Ministère public central, et communiqué à : - Mme la Juge d’application des peines, - M. le Procureur du Ministère public central, division affaires spéciales, contrôle et mineurs,</w:t>
      </w:r>
    </w:p>
    <w:p>
      <w:r>
        <w:t>- 17 - - Office d’exécution des peines (réf. : OEP/MES/56756/VRI/ipe), - Direction de l’EMS G.________, - M. [...], curateur auprès de l’Office des curatelles et tutelles professionnelles,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