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AP13.022599 vom 6. Februar 2009</w:t>
      </w:r>
    </w:p>
    <w:p>
      <w:r>
        <w:t>VD Tribunal cantonal, 2009-02-06, FR</w:t>
      </w:r>
    </w:p>
    <w:p>
      <w:r>
        <w:rPr>
          <w:b/>
        </w:rPr>
        <w:t xml:space="preserve">Quelle: </w:t>
      </w:r>
      <w:r>
        <w:t>https://mcp.opencaselaw.ch/entscheid/vd_gerichte_AP13.022599</w:t>
      </w:r>
    </w:p>
    <w:p>
      <w:r>
        <w:t>FR: VD_GERICHTE AP13.022599 du 6 février 2009</w:t>
      </w:r>
    </w:p>
    <w:p>
      <w:r>
        <w:t>IT: VD_GERICHTE AP13.022599 del 6 febbraio 2009</w:t>
      </w:r>
    </w:p>
    <w:p>
      <w:pPr>
        <w:pStyle w:val="Heading2"/>
      </w:pPr>
      <w:r>
        <w:t>Erwägungen</w:t>
      </w:r>
    </w:p>
    <w:p>
      <w:r>
        <w:rPr>
          <w:b/>
        </w:rPr>
        <w:t>E. 1</w:t>
      </w:r>
    </w:p>
    <w:p>
      <w:r>
        <w:t>a)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Cette interprétation est confortée par la lettre même de l'art. 38 al. 1 LEP qui, lorsque la décision est rendue par le Tribunal d'arrondissement ou son président, mentionne les « décisions judiciaires</w:t>
      </w:r>
    </w:p>
    <w:p>
      <w:r>
        <w:t>- 6 -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20 septembre 2013/558 c. 1 et les réf. cit.; CREP 30 septembre 2013/572).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c) En l’espèce, l’ordonnance de refus de restitution de l’effet suspensif rendue le 25 novembre 2013 par le Juge d’application des peines constitue une décision rendue dans le cadre de l’instruction relative à la procédure de suspension des sorties professionnelles, médicales, thérapeutiques ou personnelles de Z.________. Cette décision, qui refuse la restitution de l’effet suspensif au recours,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w:t>
      </w:r>
    </w:p>
    <w:p>
      <w:r>
        <w:t>- 7 -</w:t>
      </w:r>
    </w:p>
    <w:p>
      <w:r>
        <w:rPr>
          <w:b/>
        </w:rPr>
        <w:t>E. 2</w:t>
      </w:r>
    </w:p>
    <w:p>
      <w:r>
        <w:t>Invoquant une violation de son droit d’être entendue, la recourante se plaint de ce que les déterminations de l’OEP du 14 novembre 2013 ne lui ont pas été communiquées par le Juge d’application des peines. a)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présenter leurs arguments dans la procédure, ce qui suppose que la possibilité leur soit concrètement offerte de faire entendre leur point de vue (ATF 137 I 195 c. 2.3.1 et les réf. citées; TF 6B_629/2010 du 25 novembre 2010 c. 3.3.2; TF 1B_36/2010 du 19 avril 2010 c. 2.3). b) Il est vrai que le Juge d’application des peines n’a pas transmis au recourant copie des déterminations de l’OEP. Néanmoins, la recourante a pu en prendre connaissance dans l’ordonnance querellée. Quoi qu’il en soit, une telle irrégularité peut être réparée par la présente procédure de recours, la recourante jouissant de la possibilité de s'exprimer librement devant la Cour de céans, qui dispose du même pouvoir d'examen que l'autorité inférieure, et qui peut ainsi contrôler librement l'état de fait et les considérations juridiques de l’ordonnance attaquée.</w:t>
      </w:r>
    </w:p>
    <w:p>
      <w:r>
        <w:rPr>
          <w:b/>
        </w:rPr>
        <w:t>E. 3</w:t>
      </w:r>
    </w:p>
    <w:p>
      <w:r>
        <w:t>La recourante soutient que l’ordonnance attaquée se fonderait sur « de pures considérations politiques ». a) Aux termes de l'art. 80 al. 1 LPA-VD, applicable par analogie au recours auprès du juge d’application des peines en vertu de l’art. 37 al. 2 LEP, le recours administratif a effet suspensif. Toutefois, l'autorité</w:t>
      </w:r>
    </w:p>
    <w:p>
      <w:r>
        <w:t>- 8 - administrative ou l'autorité de recours peuvent, d'office ou sur requête, lever l'effet suspensif, si un intérêt public prépondérant le commande (art. 80 al. 2 LPA-VD). L’autorité appelée à se prononcer sur l’effet suspensif d’un recours doit ainsi procéder à la pesée des intérêts en présence; si l’intérêt du recourant apparaît prépondérant, elle accorde l’effet suspensif ou, en cas de recours contre une décision de retrait de cet effet, elle le restitue; dans son appréciation, les prévisions sur le sort du procès au fond n’entrent en considération que si elles ne font pas de doute (ATF 106 Ib 115 c. 2a et les arrêts cités; ATF 129 II 286 c. 3). Dans le cadre de l’application de l’art. 80 al. 2 LPA-VD, comme de l’art. 103 al. 2 de la loi sur le Tribunal fédéral du 17 juin 2005 (LTF; RS 173.110), un retrait de l’effet suspensif est justifié si le recours apparaît manifestement dénué de chances de succès ou si l’intérêt public l’emporte sur l’intérêt du recourant à repousser cette exécution jusqu’à la décision sur son recours (Corboz, in: Commentaire de la LTF, Berne 2009, nn. 33 et 35 ad. art. 103 LTF et les références citées; ATF 129 II 286 c. 3). Tel est en principe le cas lorsque la sécurité publique est en jeu. Ainsi, par exemple, en cas de retrait de sécurité du permis de conduire, l’intérêt public commande que la mesure de retrait soit exécutée immédiatement, quitte à ce qu’elle soit rapportée par la suite s’il s’avère, après enquête ou expertise, qu’elle n’est pas ou plus justifiée (ATF 106 Ib 115 c. 2b; TF 1C_195/2013 du 20 mars 2013 c. 3.2). L’autorité dispose d’un large pouvoir d’appréciation lorsqu’elle procède à la pesée des intérêts (ATF 129 II 286 c. 3; Corboz, op. cit., n. 35 ad art. 103 LTF). b) En l’espèce, le Juge d’application des peines, faisant siens les motifs de la décision de l’OEP du 30 septembre 2013 complétée par déterminations du 14 novembre 2013, a considéré que la non-restitution de l’effet suspensif au recours levé par l’autorité administrative était opportune au vu du bien juridique à protéger. Par ailleurs, contrairement à ce que soutient la recourante, la décision de l’OEP a bien été rendue en tenant compte de sa situation, laquelle sera réactualisée par le biais d’une évaluation criminologique, puis d’un avis de la CIC attendu à ce sujet.</w:t>
      </w:r>
    </w:p>
    <w:p>
      <w:r>
        <w:t>- 9 - Dans ces conditions, la pesée générale des intérêts ne saurait conduire à accorder l’effet suspensif requis.</w:t>
      </w:r>
    </w:p>
    <w:p>
      <w:r>
        <w:rPr>
          <w:b/>
        </w:rPr>
        <w:t>E. 4</w:t>
      </w:r>
    </w:p>
    <w:p>
      <w:r>
        <w:t>En définitive, le recours doit être rejeté sans autres échanges d’écritures (art. 390 al. 2 CPP) et l’ordonnance du 25 novembre 2013 confirmée.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à la charge de Z.________. Le remboursement à l’Etat de l’indemnité allouée au défenseur d’office de Z.________ ne sera toutefois exigible que pour autant que la situation économique de cette dernière se soit améliorée (art. 135 al. 4 CPP). Par ces motifs, la Chambre des recours pénale, statuant à huis clos, prononce : I. Le recours est rejeté. II. L’ordonnance du 25 novembre 2013 est confirmée. III. L'indemnité allouée au défenseur d'office de la recourante est fixée à 583 fr. 20 (cinq cent huitante-trois francs et vingt centimes). IV. Les frais du présent arrêt, par 990 fr. (neuf cent nonante francs), ainsi que l’indemnité due au défenseur d’office de Z.________, par 583 fr. 20 (cinq cent huitante-trois francs et vingt centimes), sont mis à la charge de cette dernière.</w:t>
      </w:r>
    </w:p>
    <w:p>
      <w:r>
        <w:t>- 10 - V. Le remboursement à l'Etat de l'indemnité allouée au chiffre III ci-dessus sera exigible pour autant que la situation économique de la recourante se soit améliorée. VI. Le présent arrêt est exécutoire. Le président : La greffière : Du L'arrêt qui précède, dont la rédaction a été approuvée à huis clos, est notifié, par l'envoi d'une copie complète, à : - M. Marc Cheseaux, avocat (pour Z.________), - Ministère public central, et communiqué à : - M. le Juge d’application des peines, - Office d’exécution des peines (réf. : [...]), - Direction de la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