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AP13.010750 vom 19. April 2002</w:t>
      </w:r>
    </w:p>
    <w:p>
      <w:r>
        <w:t>VD Tribunal cantonal, 2002-04-19, FR</w:t>
      </w:r>
    </w:p>
    <w:p>
      <w:r>
        <w:rPr>
          <w:b/>
        </w:rPr>
        <w:t xml:space="preserve">Quelle: </w:t>
      </w:r>
      <w:r>
        <w:t>https://mcp.opencaselaw.ch/entscheid/vd_gerichte_AP13.010750</w:t>
      </w:r>
    </w:p>
    <w:p>
      <w:r>
        <w:t>FR: VD_GERICHTE AP13.010750 du 19 avril 2002</w:t>
      </w:r>
    </w:p>
    <w:p>
      <w:r>
        <w:t>IT: VD_GERICHTE AP13.010750 del 19 aprile 2002</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ainsi que les décisions judiciaires indépendantes</w:t>
      </w:r>
    </w:p>
    <w:p>
      <w:r>
        <w:t>- 9 -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de l’art. 38 al. 1 LEP est ainsi ouvert notamment contre une décision rendue par le juge d’application des peines sur recours contre une décision de l’OEP refusant de reporter l’exécution d’une peine privative de liberté en milieu fermé (cf. art. 19 al. 1 let. a et 36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reproche au juge d’application des peines d’avoir considéré que les peines privatives de liberté infligées pouvaient être exécutées malgré sa problématique médicale, constatée dans plusieurs rapports médicaux produits au dossier. b) L’ajournement d’exécution s’assimile dans ses motifs à l’interruption de l’exécution de la peine prévue à l’art. 92 CP, lequel correspond à l'art. 40 al. 1 aCP, de sorte que la jurisprudence relative à cette dernière disposition conserve sa valeur (cf. TF 6B_249/2009 du 26 mai 2009 c. 2.1; Dupuis et alii, Petit commentaire du Code pénal, Bâle 2012, n. 2 ad art. 92 CP, p. 532). Selon cette jurisprudence, le traitement et la guérison d'un détenu doivent en principe être assurés dans le cadre de l'exécution, au besoin adaptée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w:t>
      </w:r>
    </w:p>
    <w:p>
      <w:r>
        <w:t>- 10 - l'emporter sur les buts poursuivis par l'exécution de la peine. Lorsqu'un traitement médical approprié reste compatible avec l'incarcération, il n'y a pas lieu d'interrompre, respectivement d'ajourner, l'exécution de la peine (TF 6B_249/2009 précité; ATF 106 IV 321 c. 7a; 103 Ib 184 c.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Il n’existe en revanche aucune liste exhaustive de motifs médicaux pertinents ou non pertinents. L'art. 92 CP ne posant aucune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 5.1). Quant à la gravité des motifs médicaux retenus, elle atteint toujours le degré requis pour l'application de l'art. 92 CP si elle est telle que la poursuite de l'exécution violerait l'interdiction des peines cruelles, inhumaines ou dégradantes, prévue aux art. 10 al. 3 Cst. (Constitution fédérale de la Confédération suisse du 18 avril 1999; RS 101), 3 CEDH (Convention du 4 novembre 1950 de sauvegarde des droits de l’homme et des libertés fondamentales; RS 0.101), 7 Pacte ONU II (Pacte international du 16 décembre 1966 relatif aux droits civils et politiques;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w:t>
      </w:r>
    </w:p>
    <w:p>
      <w:r>
        <w:t>- 11 -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précité; Baechtold, in: Commentaire bâlois, Strafrecht, vol. I, 2007, n. 14 ad art. 92 CP). C'est dire que la solution adoptée dans un cas particulier pourra difficilement servir de précédent pour statuer sur une demande d'interruption ou d’ajournement présentée par un autre condamné. Le principe de l'égalité de traitement commande de traiter de la même manière les situations semblables et de manière différente les situations dissemblables (ATF 136 IV 97 précité; ATF 135 V 361 c. 5.4.1, p. 369 s. et les arrêts cités). L'appréciation de la gravité des motifs médicaux est une décision d'espèce, qui n'autorise pas, en général, de comparaison pertinente au regard de l'égalité de traitement (ATF 136 IV 97 précité). c) En l’espèce, il semble incontestable que le recourant est sérieusement atteint dans sa santé. Ce constat a du reste amené le médecin-conseil du service pénitentiaire à considérer, le 7 septembre 2012, que le recourant était inapte à exécuter sa peine privative de liberté pour des raisons médicales. A ce stade, il s’agit toutefois de déterminer si l’état de santé actuel du recourant s’oppose à l’exécution de sa peine. A cet égard, c’est en vain que le recourant prend appui sur des avis médicaux ou courriers anciens (cf. rapport des HUG du 6 janvier 2003, courriers de l’OEP des 27 et 28 janvier 2005 et lettre des HUG du 2 février 2005), lesquels ne reflètent plus l’état de santé actuel du recourant. Le médecin traitant du recourant a cependant estimé dans ses rapports du 5 février 2013, puis du 18 février 2013, que son patient n’était toujours pas en état de purger sa peine privative de liberté. Dans son rapport du 10 mai 2013, le médecin-conseil du SPEN a toutefois considéré, sur la base des informations médicales dont il disposait, que tant que</w:t>
      </w:r>
    </w:p>
    <w:p>
      <w:r>
        <w:t>- 12 - l’état de santé du recourant lui permettait d’être suivi de manière ambulatoire, il était apte à exécuter sa peine privative de liberté, sous réserve d’une prise en charge par le SMPP. Le médecin-conseil a encore relevé que si le patient présentait des problèmes de santé sérieux et que ces plaintes ou malaises n’étaient pas à banaliser, en particulier par le personnel pénitentiaire, sa prise en charge médicale par le SMPP pourra être effectuée avec tout le soin nécessaire. Ce rapport tenait compte des rapports du médecin traitant précités. Interpellée suite à la production par Y.________ d’un rapport complémentaire du Dr C.________ du 15 mai 2013 et du rapport d’intervention des ambulanciers du CHUV du 13 juillet 2013, ainsi que d’un courriel du 16 juillet 2013 adressé à son médecin traitant, relevant la nécessité d’une prise en charge rapide du patient en cas de malaise, la Dresse Z.________, dans un rapport du 8 août 2013, a expliqué que les derniers éléments apportés au dossier ne modifiaient pas son avis médical. Elle a précisé qu’en cas d’urgence, il appartiendra aux agents de détention de transmettre rapidement les demandes de Y.________ au service médical. Enfin, elle a ajouté que puisqu’il existe la possibilité de ne pas effectuer d’activités physiquement pénibles et d’un suivi médical par le SMPP, l’environnement de vie en détention n’entraînait pas en soi une accentuation du risque de péjoration de l’état général du recourant. d) En définitive, il faut considérer que le médecin-conseil du SPEN, la Dresse Z.________, affirme que le recourant est apte à exécuter sa peine privative de liberté, laquelle n’entraînera pas en soi une augmentation des risques de péjoration de l’état général du recourant et que ce dernier pourra faire l’objet d’une prise en charge adaptée à sa problématique médicale. Cet avis a été exprimé après que le médecin- conseil ait eu connaissance de tous les certificats médicaux produits par le recourant. La Dresse Z.________ est par ailleurs la mieux à même de déterminer la nature des soins possibles en milieu carcéral. Il n’y a dès lors aucun motif de s’écarter des conclusions de la Dresse Z.________ pas plus qu’il n’y a d’accorder l’expertise requise par le recourant.</w:t>
      </w:r>
    </w:p>
    <w:p>
      <w:r>
        <w:rPr>
          <w:b/>
        </w:rPr>
        <w:t>E. 3</w:t>
      </w:r>
    </w:p>
    <w:p>
      <w:r>
        <w:t>Au vu de ce qui précède, le recours doit être rejeté et le prononcé sur recours administratif confirmé.</w:t>
      </w:r>
    </w:p>
    <w:p>
      <w:r>
        <w:t>- 13 - Les frais de la procédure de recours, constitués en l'espèce de l'émolument d'arrêt, par 1’320 fr. (art. 20 al. 1 TFJP [Tarif des frais judiciaires pénaux du 28 septembre 2010; RSV 312.03.1]), et des frais imputables à la défense d’office (art. 422 al. 1 et 2 let. a CPP), fixés à 900 fr., plus la TVA par 72 fr., soit 972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sur recours administratif du 31 juillet 2013 est confirmé. III. L’indemnité allouée au défenseur d’office de Y.________ est fixée à 972 fr. (neuf cent septante-deux francs). IV. Les frais d’arrêt, par 1’320 fr. (mille trois cent vingt francs), ainsi que l’indemnité due au défenseur d’office de Y.________, par 972 fr. (neuf cent septante-deux francs), sont mis à la charge de ce dernier. V. Le remboursement à l’Etat de l’indemnité allouée au chiffre III ci-dessus ne sera exigible que pour autant que la situation économique de Y.________ se soit améliorée. VI. Le présent arrêt est exécutoire. Le président : La greffière :</w:t>
      </w:r>
    </w:p>
    <w:p>
      <w:r>
        <w:t>- 14 - Du L'arrêt qui précède, dont la rédaction a été approuvée à huis clos, est notifié, par l'envoi d'une copie complète, à : - Me Jean Lob, avocat (pour Y.________), - Ministère public central, division affaires spéciales, contrôle et mineurs, et communiqué à : - Mme la Juge d’application des peines, - Office d’exécution des peines (réf.: OEP/PPL/1202/VRI/BD),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