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AM25.011332 vom 20. Oktober 2025</w:t>
      </w:r>
    </w:p>
    <w:p>
      <w:r>
        <w:t>VD Tribunal cantonal, 2025-10-20, FR</w:t>
      </w:r>
    </w:p>
    <w:p>
      <w:r>
        <w:rPr>
          <w:b/>
        </w:rPr>
        <w:t xml:space="preserve">Quelle: </w:t>
      </w:r>
      <w:r>
        <w:t>https://mcp.opencaselaw.ch/entscheid/vd_gerichte_AM25.011332</w:t>
      </w:r>
    </w:p>
    <w:p>
      <w:r>
        <w:t>FR: VD_GERICHTE AM25.011332 du 20 octobre 2025</w:t>
      </w:r>
    </w:p>
    <w:p>
      <w:r>
        <w:t>IT: VD_GERICHTE AM25.011332 del 20 ottobre 2025</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CPP ; Gilliéron/Killias, in : Jeanneret et al. [éd.], Commentaire romand, Code de procédure pénale suisse, 2e éd., Bâle 2019, n. 5 ad art. 356 CPP ; CREP 18 septembre 2025/701 consid. 1.1).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une partie qui a qualité pour recourir (art. 382 al. 1 CPP) et dans les formes prescrites (art. 385 al. 1 CPP), le recours est recevable.</w:t>
      </w:r>
    </w:p>
    <w:p>
      <w:r>
        <w:rPr>
          <w:b/>
        </w:rPr>
        <w:t>E. 2</w:t>
      </w:r>
    </w:p>
    <w:p>
      <w:r>
        <w:t>Le recourant fait valoir qu’il était en vacances au moment de la notification de l’ordonnance pénale, de sorte qu’il n’en avait eu connaissance qu’à son retour, lorsque celle-ci lui avait été communiquée par courrier ordinaire, soit vers le 20 juin 2025. Il conteste ensuite le fond de sa condamnation, remettant en cause le constat de police.</w:t>
      </w:r>
    </w:p>
    <w:p>
      <w:r>
        <w:rPr>
          <w:b/>
        </w:rPr>
        <w:t>E. 2.1</w:t>
      </w:r>
    </w:p>
    <w:p>
      <w:r>
        <w:t>L’ordonnance pénale est notifiée par écrit aux personnes et aux autorités qui ont qualité pour former opposition (art. 353 al. 3 CPP). Le</w:t>
      </w:r>
    </w:p>
    <w:p>
      <w:r>
        <w:t>- 5 -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w:t>
      </w:r>
    </w:p>
    <w:p>
      <w:r>
        <w:t>- 6 - consid. 1.1.2 ; TF 6B_217/2025 du 29 avril 2025 consid. 2.1.1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6B_217/2025 précité et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 consid. 1.1 ; ATF 6B_217/2025 précité). Dans un arrêt 6B_1154/2021 du 10 octobre 2022 consid. 1.3, le Tribunal fédéral a jugé que la fiction de la notification d’une ordonnance pénale à l’échéance du délai de garde postal (art. 85 al. 4 let. a CPP) ne valait que lorsque le prévenu devait s’attendre à recevoir un tel acte, ce qui supposait d’examiner si, au vu des circonstances, il avait été informé, de façon claire et précise qu’il faisait l’objet d’une procédure pénale. Tel n’était pas le cas lorsque le prévenu, sans antécédents permettant de retenir sans ambiguïté qu'il aurait déjà été confronté à une situation analogue sur le plan procédural, n’avait fait que remplir un formulaire destiné à identifier le conducteur responsable d’un excès de vitesse, en l’absence de toute audition par la police ou le Ministère public (cf. aussi Guisan/Kinzer, in : www.crimen.ch/155/?pdf=4966 du 29 novembre 2022).</w:t>
      </w:r>
    </w:p>
    <w:p>
      <w:r>
        <w:rPr>
          <w:b/>
        </w:rPr>
        <w:t>E. 2.3</w:t>
      </w:r>
    </w:p>
    <w:p>
      <w:r>
        <w:t>Selon la jurisprudence du Tribunal fédéral, le fardeau de la preuve de la notification et de la date de celle-ci incombe en principe à l’autorité qui entend en tirer une conséquence juridique (ATF 144 IV 57 consid. 2.3 ; ATF 142 IV 125 consid. 4). L’autorité supporte donc les</w:t>
      </w:r>
    </w:p>
    <w:p>
      <w:r>
        <w:t>- 7 - conséquences de l’absence de preuve, notamment lorsqu’elle notifie une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précité consid. 4.3 et les références citées).</w:t>
      </w:r>
    </w:p>
    <w:p>
      <w:r>
        <w:rPr>
          <w:b/>
        </w:rPr>
        <w:t>E. 2.4</w:t>
      </w:r>
    </w:p>
    <w:p>
      <w:r>
        <w:t>En l’espèce, le recourant n’a été entendu ni par la police ni par le Ministère public. Il a seulement été invité à compléter un formulaire « identité du conducteur responsable » (cf. P. 4), qu’il a retourné le 19 mai 2025, avec une annexe, indiquant qu’il était prévenu d’une infraction pour dépassement de vitesse, qu’il avait le droit de refuser de déposer et de collaborer et qu’il pouvait faire appel à un défenseur de choix, à ses frais. Ce document comportait des cases à cocher, soit « J’accepte de répondre à vos questions », « Je refuse de répondre à vos questions et fais valoir mon droit au silence », « J’ai compris les droits et les obligations contenus dans ce formulaire et je reconnais être le conducteur fautif » et « Je n’ai pas compris les droits et les obligations contenus dans ce formulaire et je demande l’assistance d’un traducteur ou d’un interprète », ainsi que la mention qu’un mandat de comparution pourrait être délivré par le Ministère public en cas de refus de répondre aux questions. On relève également qu’un formulaire distinct relatif à la situation financière a été rempli par le recourant (P. 6). Enfin, le procès-verbal d’infraction du 20 mai 2025 a été adressé au Ministère public et au Service des automobile, sans que le recourant ne fasse partie des destinataires (P. 4). Ainsi, la situation factuelle ne se distingue pas de celle ayant conduit le Tribunal fédéral, dans l’arrêt 6B_1154/2021, à nier l’application de la fiction de notification de l’art. 85 al. 4 let. a CPP. En effet, les formulaires adressés au recourant visaient principalement l’identification du conducteur responsable et la collecte de renseignements personnels et financiers, étant relevé que la case à cocher « J’ai compris les droits et les</w:t>
      </w:r>
    </w:p>
    <w:p>
      <w:r>
        <w:t>- 8 - obligations contenus dans ce formulaire et je reconnais être le conducteur fautif » présente un libellé ambigu, puisqu’elle paraît subordonner l’attestation de compréhension des droits et des obligations à une reconnaissance de culpabilité. Par ailleurs, l’extrait du casier judiciaire suisse du recourant est vierge et rien n’indique qu’il ait déjà été confronté à une situation analogue qui aurait dû l’amener à se montrer attentif à d’éventuelles communications de justice. Dans ces conditions, en l’absence d’audition par la police ou le Ministère public, et d’une information claire et précise sur sa situation procédurale, le recourant ne pouvait s’attendre à la notification directe d’une ordonnance pénale. Partant, la fiction de l’art. 85 al. 4 let. a CPP ne s’applique pas. Cela étant, le recourant reconnaît avoir reçu, sous pli simple, l’ordonnance pénale expédiée le 17 juin 2025. Dans son écrit non daté parvenu au Tribunal d’arrondissement le 7 août 2025 (P. 11), il indique l’avoir reçue « quelques jours plus tard », précisant, dans son acte de recours, « vers le 20 juin » (« was redelivered » dans sa version anglaise). Il ajoute avoir demandé au sgtm [...], après avoir eu connaissance de sa condamnation, de lui fournir la localisation géographique du radar, annexant à son recours, un courriel confirmant ses dires, daté du lundi 14 juillet 2025 à 14h09 (cf. P. 15/1). En conséquence, ces éléments suffisent à retenir, au minimum, une notification effective de l’ordonnance pénale le 14 juillet 2025. Dans cette hypothèse, le délai d’opposition de dix jours (art. 354 al. 1 CPP), courant dès le lendemain (art. 90 al. 1 CPP) et expirant le 24 juillet 2025 (art. 90 al. 2 CPP), était échu lors de l’envoi de l’opposition, datée du 31 juillet 2025 mais remise à la poste le 2 août 2025 (art. 91 al. 2 CPP). A fortiori, si la notification est fixée « vers le 20 juin 2025 », le délai expirait déjà le 30 juin 2025. Dans tous les cas, l’opposition est tardive, de sorte que le moyen doit être rejeté.</w:t>
      </w:r>
    </w:p>
    <w:p>
      <w:r>
        <w:rPr>
          <w:b/>
        </w:rPr>
        <w:t>E. 3</w:t>
      </w:r>
    </w:p>
    <w:p>
      <w:r>
        <w:t>En définitive, le recours, manifestement mal fondé, doit être rejeté sans échange d’écritures (art. 390 al. 2 CPP) et le prononcé du 6 août 2025 confirmé.</w:t>
      </w:r>
    </w:p>
    <w:p>
      <w:r>
        <w:t>- 9 - Le dossier de la cause est retourné au Tribunal d’arrondissement de La Côte, à charge pour lui de le transmettre au Ministère public pour qu’il statue sur la demande de restitution de délai (cf. P. 12).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6 août 2025 est confirmé. III. Les frais d’arrêt, par 880 fr. (huit cent huitante francs), sont mis à la charge de H.________. IV. L’arrêt est exécutoire. Le président : Le greffier : Du Le présent arrêt, dont la rédaction a été approuvée à huis clos, est notifié, par l'envoi d'une copie complète, à : - M. H.________, - Ministère public central,</w:t>
      </w:r>
    </w:p>
    <w:p>
      <w:r>
        <w:t>- 10 -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