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AM25.009025 vom 23. Oktober 2025</w:t>
      </w:r>
    </w:p>
    <w:p>
      <w:r>
        <w:t>VD Tribunal cantonal, 2025-10-23, FR</w:t>
      </w:r>
    </w:p>
    <w:p>
      <w:r>
        <w:rPr>
          <w:b/>
        </w:rPr>
        <w:t xml:space="preserve">Quelle: </w:t>
      </w:r>
      <w:r>
        <w:t>https://mcp.opencaselaw.ch/entscheid/vd_gerichte_AM25.009025</w:t>
      </w:r>
    </w:p>
    <w:p>
      <w:r>
        <w:t>FR: VD_GERICHTE AM25.009025 du 23 octobre 2025</w:t>
      </w:r>
    </w:p>
    <w:p>
      <w:r>
        <w:t>IT: VD_GERICHTE AM25.009025 del 23 ottobre 2025</w:t>
      </w:r>
    </w:p>
    <w:p>
      <w:pPr>
        <w:pStyle w:val="Heading2"/>
      </w:pPr>
      <w:r>
        <w:t>Erwägungen</w:t>
      </w:r>
    </w:p>
    <w:p>
      <w:r>
        <w:rPr>
          <w:b/>
        </w:rPr>
        <w:t>E. 1</w:t>
      </w:r>
    </w:p>
    <w:p>
      <w:r>
        <w:t>CPP, qui interdit la prolongation des délais fixés par la loi et n’autorise pas la partie à compléter un acte dépourvu de motivation (TF 7B_51/2024 du 25 avril 2024 consid. 2.2.2 ; TF 6B_1447/2022 précité).</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w:t>
      </w:r>
    </w:p>
    <w:p>
      <w:r>
        <w:t>- 3 - 2020, n. 2 ad art. 356 CPP ; Gilliéron/Killias, in : Jeanneret et al. [éd.], Commentaire romand, Code de procédure pénale suisse, 2e éd., Bâle 2019, n. 5 ad art. 356 CPP ; CREP 18 septembre 2025/701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w:t>
      </w:r>
    </w:p>
    <w:p>
      <w:r>
        <w:t>- 4 - pas suffisant (TF 7B_587/2023 précité ; TF 6B_1447/2022 précité ; CREP 8 octobre 2025/758 consid. 1.3).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w:t>
      </w:r>
    </w:p>
    <w:p>
      <w:r>
        <w:rPr>
          <w:b/>
        </w:rPr>
        <w:t>E. 2</w:t>
      </w:r>
    </w:p>
    <w:p>
      <w:r>
        <w:t>En l’espèce, le recours a été déposé en temps utile par le prévenu qui a qualité pour recourir (art. 382 al. 1 CPP). En revanche, il ne respecte pas les exigences de motivation posées par l’art. 385 al. 1 CPP. En effet, le recourant se borne à contester le fond de la cause, faisant valoir que, contrairement à ce qu’a retenu le Ministère public, son véhicule aurait bien été assuré en responsabilité civile au moment des faits. Ce faisant, il n’expose nullement, en se référant aux considérants du prononcé attaqué quels motifs commanderaient, sous l’angle du fait ou du droit, de prendre une autre décision. Il ne soutient pas que le raisonnement de l’autorité précédente, selon lequel la notification de l’ordonnance pénale était régulière et l’opposition tardive, serait erroné, ni ne développe une quelconque argumentation en lien avec le prononcé litigieux. Un tel défaut de motivation ne saurait justifier qu’un délai supplémentaire soit imparti au recourant pour compléter son acte en application de l’art. 385 al. 2 CPP.</w:t>
      </w:r>
    </w:p>
    <w:p>
      <w:r>
        <w:t>- 5 -</w:t>
      </w:r>
    </w:p>
    <w:p>
      <w:r>
        <w:rPr>
          <w:b/>
        </w:rPr>
        <w:t>E. 3</w:t>
      </w:r>
    </w:p>
    <w:p>
      <w:r>
        <w:t>En définitive, le recours doit être déclaré irrecevable, sans échange d’écritures (art. 390 al. 2 CPP). Vu le sort du recours, les frais de la procédure, constitués en l’espèce de l’émolument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D.________. III. L’arrêt est exécutoire. Le président : Le greffier : Du Le présent arrêt, dont la rédaction a été approuvée à huis clos, est notifié, par l'envoi d'une copie complète, à : - M. D.________,</w:t>
      </w:r>
    </w:p>
    <w:p>
      <w:r>
        <w:t>- 6 - - Ministère public central,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