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AM25.006785 vom 10. September 2025</w:t>
      </w:r>
    </w:p>
    <w:p>
      <w:r>
        <w:t>VD Tribunal cantonal, 2025-09-10, FR</w:t>
      </w:r>
    </w:p>
    <w:p>
      <w:r>
        <w:rPr>
          <w:b/>
        </w:rPr>
        <w:t xml:space="preserve">Quelle: </w:t>
      </w:r>
      <w:r>
        <w:t>https://mcp.opencaselaw.ch/entscheid/vd_gerichte_AM25.006785</w:t>
      </w:r>
    </w:p>
    <w:p>
      <w:r>
        <w:t>FR: VD_GERICHTE AM25.006785 du 10 septembre 2025</w:t>
      </w:r>
    </w:p>
    <w:p>
      <w:r>
        <w:t>IT: VD_GERICHTE AM25.006785 del 10 settembre 2025</w:t>
      </w:r>
    </w:p>
    <w:p>
      <w:pPr>
        <w:pStyle w:val="Heading2"/>
      </w:pPr>
      <w:r>
        <w:t>Erwägungen</w:t>
      </w:r>
    </w:p>
    <w:p>
      <w:r>
        <w:rPr>
          <w:b/>
        </w:rPr>
        <w:t>E. 1.1</w:t>
      </w:r>
    </w:p>
    <w:p>
      <w:r>
        <w:t>Aux termes de l’art. 393 al. 1 let. a CPP,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la prévenue, qui a qualité pour recourir (art. 382 al. 1 CPP) et dans les formes prescrites (art. 385 al. 1 CPP), le recours est recevable. Les pièces nouvelles produites à l’appui du recours (P. 12) sont également recevables (art. 389 al. 3 et 390 al. 4 in fine CPP ; TF 1B_550/2022 du 17 novembre 2022 consid. 2.1).</w:t>
      </w:r>
    </w:p>
    <w:p>
      <w:r>
        <w:rPr>
          <w:b/>
        </w:rPr>
        <w:t>E. 2.1</w:t>
      </w:r>
    </w:p>
    <w:p>
      <w:r>
        <w:t>La recourante admet que sa « réponse est intervenue de manière tardive ». Elle fait valoir qu’elle aurait été empêchée de former opposition à l’ordonnance pénale du 27 mai 2025 en raison d’un cas de « force majeur » totalement indépendant de sa volonté. Elle explique</w:t>
      </w:r>
    </w:p>
    <w:p>
      <w:r>
        <w:t>- 5 - qu’elle a dû quitter le pays en urgence, notamment à la suite de la venue de sa mère à Genève pour la soutenir dans une période difficile. Par la suite, elle s’était trouvée à Barcelone jusqu’au 13 juin 2025, date de son retour en Suisse (P. 16, p. 1). Elle explique également qu’elle aurait été victime d’une agression violente de la part de son ex- partenaire, incluant une tentative d’homicide. Cette situation aurait profondément affecté son équilibre personnel et professionnel et aurait provoqué un stress post- traumatique documenté, ainsi que des conséquences émotionnelles et financières. Cette condition l’aurait temporairement empêchée de répondre dans les délais impartis par la procédure (P. 16, p. 2 in fine). Elle a produit un certificat médical établi le 5 juin 2025 par les HUG et s’est référée à un rapport « attendu » de la Dre [...] qu’elle a sollicité par courriel du 2 septembre 2025.</w:t>
      </w:r>
    </w:p>
    <w:p>
      <w:r>
        <w:rPr>
          <w:b/>
        </w:rPr>
        <w:t>E. 2.2.1</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Sauf disposition contraire du CPP, les communications des autorités pénales sont notifiées en la forme écrite (art. 85 al. 1 CPP). A teneur de l'art. 85 al. 2 CPP, les autorités pénales notifient leurs prononcés – dont les ordonnances (cf. art. 80 al. 2e phr. CPP) – par lettre signature ou par tout autre mode de communication impliquant un accusé de réception, notamment par l'entremise de la police. Toute communication doit être notifiée au domicile, au lieu de résidence habituelle ou au siège du destinataire (art. 87 al. 1 CPP). Cette disposition n’exclut pas que la partie fasse suivre son courrier, désigne un représentant ou indique une adresse de notification (ATF 146 IV 30 consid. 1.1.2 ; ATF 141 II 429 consid. 3.1). Le prononcé est réputé notifié lorsqu’il a été remis au destinataire, à l’un de</w:t>
      </w:r>
    </w:p>
    <w:p>
      <w:r>
        <w:t>- 6 - ses employés ou à toute personne de plus de seize ans vivant dans le même ménage (art. 85 al. 3 CPP).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Il n'est donc pas nécessaire que le destinataire ait personnellement en main la décision en cause, encore moins qu'il en prenne effectivement connaissance (TF 6B_192/2021 du 27 septembre 2021 ; TF 8C_754/2018 du 7 mars 2019 consid. 7.2.1 et références citées).</w:t>
      </w:r>
    </w:p>
    <w:p>
      <w:r>
        <w:rPr>
          <w:b/>
        </w:rPr>
        <w:t>E. 2.2.2</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Ainsi,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(TF 6B_1156/2023 du 26 avril 2024 consid. 1.1 et les références citées). Selon la jurisprudence constante, une restitution de délai n'entre pas en ligne de compte lorsque la partie ou son mandataire a tardé à agir en raison d'un choix délibéré ou d'une erreur, même légère (ATF 143 I 284 consid. 1.3).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w:t>
      </w:r>
    </w:p>
    <w:p>
      <w:r>
        <w:t>- 7 -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6B_1156/2023 précité consid. 1.1 et les références citées).</w:t>
      </w:r>
    </w:p>
    <w:p>
      <w:r>
        <w:rPr>
          <w:b/>
        </w:rPr>
        <w:t>E. 2.3</w:t>
      </w:r>
    </w:p>
    <w:p>
      <w:r>
        <w:t>En l’espèce, la recourante admet la tardiveté de son opposition (cf. P. 9 et P. 16 p. 1). Elle explique cependant qu’elle était dans l’impossibilité d’agir dans les délais en raison d’un « cas de force majeur ». Elle produit plusieurs documents médicaux pour étayer ses dires. Ainsi, K.________ s’appuie d’abord sur le certificat médical été établi le 13 juin 2025 par la Dre C. [...], spécialiste en médecine légale et l’infirmière R. [...], des HUG, à la suite de violences qu’elle aurait subies le 3 juin 2025 de la part de son ex-compagnon. Certes, les évènements décrits par K.________ sont sérieux. Toutefois, à l’instar du Ministère public, force est d’admettre que les lésions constatées (lésions cutanées telles que des discolorations rosées ou brunes, des dermabrasions filiformes, une croûte brune et une cicatrice rosée de 1,1 cm) ne permettent pas de justifier une demande de restitution de délai. La recourante a également produit une ordonnance des HUG (cf. let. C supra) préconisant plusieurs examens médicaux. Ce document ne mentionne toutefois aucune date ni aucune période pendant lesquelles K.________ aurait été dans une éventuelle incapacité d’agir, ni sur un état médical sérieux qui l’aurait empêchée de procéder. S’agissant du « rapport officiel psychologique » qu’elle a demandé à la Dre [...], il ne figure pas au dossier. Quant au moyen en relation avec le fait qu’elle était à l’étranger, il ne lui est d’aucun secours dès lors qu’elle savait qu’une procédure était en cours à son encontre, qu’elle pouvait ainsi s’attendre à recevoir la notification d’actes, et qu’elle devait par conséquent prendre toutes les dispositions nécessaires pour s’assurer qu’un pli puisse lui parvenir malgré son absence.</w:t>
      </w:r>
    </w:p>
    <w:p>
      <w:r>
        <w:t>- 8 - En définitive, les explications fournies par la recourante et les pièces nouvelles qu’elle a produites ne permettent pas de considérer que son manquement n'est imputable à aucune faute de sa part. C’est donc à bon droit que le Ministère public a rejeté la demande de restitution de délai de K.________. S’agissant des autres moyens soulevés par la recourante dans son écriture, ils concernent le fond de l’affaire et ne relèvent pas de l’ordonnance entreprise de sorte qu’ils sont irrecevables.</w:t>
      </w:r>
    </w:p>
    <w:p>
      <w:r>
        <w:rPr>
          <w:b/>
        </w:rPr>
        <w:t>E. 3</w:t>
      </w:r>
    </w:p>
    <w:p>
      <w:r>
        <w:t>Il résulte de ce qui précède que le recours, manifestement mal fondé, doit être rejeté sans échange d’écritures, dans la mesure où il est recevable, et l’ordonnance entreprise confirmée. Les frais de la procédure de recours, constitués en l’espèce du seul émolument d’arrêt, par 880 fr. (art. 20 al. 1 TFIP [tarif des frais de procédure et indemnités en matière pénale du 28 septembre 2010 ; BLV 312.03.1]), seront mis à la charge de K.________, qui succombe (art. 428 al. 1 CPP). Par ces motifs, la Chambre des recours pénale prononce : I. Le recours est rejeté. II. L’ordonnance du 22 août 2025 est confirmée. III. Les frais d’arrêt, par 880 fr. (huit cent huitante francs), sont mis à la charge de K.________. IV. L’arrêt est exécutoire. Le président : La greffière :</w:t>
      </w:r>
    </w:p>
    <w:p>
      <w:r>
        <w:t>- 9 - Du Le présent arrêt, dont la rédaction a été approuvée à huis clos, est notifié, par l'envoi d'une copie complète, à : - Mme 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